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b/>
          <w:bCs/>
          <w:sz w:val="20"/>
          <w:szCs w:val="20"/>
        </w:rPr>
      </w:pPr>
      <w:r w:rsidRPr="00E635A2">
        <w:rPr>
          <w:rFonts w:hint="cs"/>
          <w:sz w:val="20"/>
          <w:szCs w:val="20"/>
          <w:rtl/>
        </w:rPr>
        <w:t xml:space="preserve">מספר פנימי: </w:t>
      </w:r>
      <w:bookmarkStart w:id="0" w:name="LGS_Internal_ID"/>
      <w:r>
        <w:rPr>
          <w:rFonts w:hint="cs"/>
          <w:sz w:val="20"/>
          <w:szCs w:val="20"/>
          <w:rtl/>
        </w:rPr>
        <w:t>2211374</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וחמש</w:t>
      </w:r>
      <w:bookmarkEnd w:id="1"/>
    </w:p>
    <w:p w14:paraId="7F6961A3" w14:textId="77777777" w:rsidR="00E13C27" w:rsidRPr="00F67051" w:rsidRDefault="00E13C27" w:rsidP="00E13C27">
      <w:pPr>
        <w:rPr>
          <w:b/>
          <w:bCs/>
          <w:sz w:val="26"/>
          <w:szCs w:val="26"/>
          <w:rtl/>
        </w:rPr>
      </w:pPr>
    </w:p>
    <w:p w14:paraId="7F6961AA" w14:textId="108B790C" w:rsidR="00E13C27" w:rsidRPr="00CF1AA2" w:rsidRDefault="008F6665" w:rsidP="00A63DCD">
      <w:pPr>
        <w:pStyle w:val="David"/>
        <w:ind w:left="3544"/>
        <w:rPr>
          <w:b/>
          <w:bCs/>
          <w:sz w:val="16"/>
          <w:szCs w:val="16"/>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גלעד קריב</w:t>
      </w:r>
      <w:r>
        <w:br/>
      </w:r>
      <w:r>
        <w:rPr>
          <w:rFonts w:hint="cs"/>
          <w:b/>
          <w:bCs/>
          <w:rtl/>
        </w:rPr>
        <w:t xml:space="preserve"> </w:t>
      </w:r>
      <w:r>
        <w:tab/>
      </w:r>
      <w:r>
        <w:tab/>
      </w:r>
      <w:r>
        <w:tab/>
      </w:r>
      <w:r>
        <w:tab/>
      </w:r>
      <w:r>
        <w:rPr>
          <w:rFonts w:hint="cs"/>
          <w:b/>
          <w:bCs/>
          <w:rtl/>
        </w:rPr>
        <w:t>יואב סגלוביץ'</w:t>
      </w:r>
      <w:bookmarkStart w:id="4" w:name="LGS_Join_List"/>
      <w:bookmarkEnd w:id="3"/>
      <w:r w:rsidR="007D585A">
        <w:rPr>
          <w:rtl/>
        </w:rPr>
        <w:t xml:space="preserve"> </w:t>
      </w:r>
      <w:bookmarkEnd w:id="4"/>
      <w:r w:rsidR="002200A1" w:rsidRPr="00CF1AA2">
        <w:rPr>
          <w:rFonts w:hint="cs"/>
          <w:rtl/>
        </w:rPr>
        <w:tab/>
      </w:r>
      <w:bookmarkStart w:id="5" w:name="LGS_PM_NamesJoin"/>
      <w:r w:rsidR="007D585A">
        <w:rPr>
          <w:rFonts w:hint="cs"/>
          <w:rtl/>
        </w:rPr>
        <w:t xml:space="preserve"> </w:t>
      </w:r>
      <w:bookmarkEnd w:id="5"/>
    </w:p>
    <w:p w14:paraId="34DB4103" w14:textId="77777777" w:rsidR="00904591" w:rsidRPr="00904591" w:rsidRDefault="00266D86" w:rsidP="0036422C">
      <w:pPr>
        <w:pStyle w:val="David"/>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32D12D55" w:rsidR="00E13C27" w:rsidRPr="00E06736" w:rsidRDefault="009F55D1" w:rsidP="00904591">
      <w:pPr>
        <w:pStyle w:val="David"/>
        <w:spacing w:line="240" w:lineRule="auto"/>
        <w:ind w:left="3544"/>
        <w:rPr>
          <w:rtl/>
        </w:rPr>
      </w:pPr>
      <w:r>
        <w:rPr>
          <w:rtl/>
        </w:rPr>
        <w:tab/>
      </w:r>
      <w:r>
        <w:rPr>
          <w:rFonts w:hint="cs"/>
          <w:rtl/>
        </w:rPr>
        <w:t xml:space="preserve">      </w:t>
      </w:r>
      <w:r w:rsidR="00904591">
        <w:t xml:space="preserve">                                            </w:t>
      </w:r>
      <w:r w:rsidR="008F1308">
        <w:t xml:space="preserve"> </w:t>
      </w:r>
      <w:bookmarkStart w:id="6" w:name="Private_Number"/>
      <w:r w:rsidR="00904591">
        <w:rPr>
          <w:rFonts w:hint="cs"/>
          <w:rtl/>
        </w:rPr>
        <w:t>פ/4722/25</w:t>
      </w:r>
      <w:bookmarkEnd w:id="6"/>
    </w:p>
    <w:p w14:paraId="7F6961AC" w14:textId="77777777" w:rsidR="00E13C27" w:rsidRDefault="00E13C27" w:rsidP="00E13C27">
      <w:pPr>
        <w:ind w:left="2880" w:firstLine="720"/>
        <w:rPr>
          <w:sz w:val="26"/>
          <w:szCs w:val="26"/>
          <w:rtl/>
        </w:rPr>
      </w:pPr>
    </w:p>
    <w:p w14:paraId="7F6961AE" w14:textId="272BB692" w:rsidR="00E13C27" w:rsidRDefault="00A443CF" w:rsidP="009F55D1">
      <w:pPr>
        <w:pStyle w:val="HeadHatzaotHok"/>
        <w:rPr>
          <w:rtl/>
        </w:rPr>
      </w:pPr>
      <w:bookmarkStart w:id="7" w:name="LGS_Subject"/>
      <w:r>
        <w:rPr>
          <w:rFonts w:hint="cs"/>
          <w:rtl/>
        </w:rPr>
        <w:t xml:space="preserve">הצעת חוק הממשלה (תיקון </w:t>
      </w:r>
      <w:r w:rsidR="009F55D1">
        <w:rPr>
          <w:rFonts w:hint="eastAsia"/>
          <w:rtl/>
        </w:rPr>
        <w:t>–</w:t>
      </w:r>
      <w:bookmarkStart w:id="8" w:name="_GoBack"/>
      <w:bookmarkEnd w:id="8"/>
      <w:r>
        <w:rPr>
          <w:rFonts w:hint="cs"/>
          <w:rtl/>
        </w:rPr>
        <w:t xml:space="preserve"> קיום מסיבת עיתונאים עיתית לגופי התקשורת בישראל), </w:t>
      </w:r>
      <w:bookmarkEnd w:id="7"/>
      <w:r w:rsidR="00D170F2">
        <w:rPr>
          <w:rtl/>
        </w:rPr>
        <w:br/>
      </w:r>
      <w:r>
        <w:rPr>
          <w:rFonts w:hint="cs"/>
          <w:rtl/>
        </w:rPr>
        <w:t>התשפ"ד</w:t>
      </w:r>
      <w:r w:rsidR="00F3503F">
        <w:rPr>
          <w:rtl/>
        </w:rPr>
        <w:t>–</w:t>
      </w:r>
      <w:r>
        <w:rPr>
          <w:rFonts w:hint="cs"/>
          <w:rtl/>
        </w:rPr>
        <w:t>2024</w:t>
      </w: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4647"/>
      </w:tblGrid>
      <w:tr w:rsidR="00FF2D4A" w14:paraId="62D3D477" w14:textId="77777777" w:rsidTr="00A63DCD">
        <w:tc>
          <w:tcPr>
            <w:tcW w:w="1871" w:type="dxa"/>
          </w:tcPr>
          <w:p w14:paraId="2D8C3B1D" w14:textId="77777777" w:rsidR="00FF2D4A" w:rsidRDefault="00FF2D4A" w:rsidP="00156116">
            <w:pPr>
              <w:pStyle w:val="TableSideHeading"/>
              <w:keepLines w:val="0"/>
              <w:rPr>
                <w:rtl/>
              </w:rPr>
            </w:pPr>
            <w:r>
              <w:rPr>
                <w:rFonts w:hint="cs"/>
                <w:rtl/>
              </w:rPr>
              <w:t>הוספת סעיף 10א</w:t>
            </w:r>
          </w:p>
        </w:tc>
        <w:tc>
          <w:tcPr>
            <w:tcW w:w="624" w:type="dxa"/>
          </w:tcPr>
          <w:p w14:paraId="77C49C6D" w14:textId="3F388247" w:rsidR="00FF2D4A" w:rsidRDefault="00F3503F" w:rsidP="00156116">
            <w:pPr>
              <w:pStyle w:val="TableText"/>
              <w:keepLines w:val="0"/>
            </w:pPr>
            <w:r>
              <w:rPr>
                <w:rFonts w:hint="cs"/>
                <w:rtl/>
              </w:rPr>
              <w:t>1.</w:t>
            </w:r>
          </w:p>
        </w:tc>
        <w:tc>
          <w:tcPr>
            <w:tcW w:w="7143" w:type="dxa"/>
            <w:gridSpan w:val="5"/>
          </w:tcPr>
          <w:p w14:paraId="4CB1FA15" w14:textId="735F110F" w:rsidR="00FF2D4A" w:rsidRPr="00F8671A" w:rsidRDefault="00FF2D4A" w:rsidP="00A63DCD">
            <w:pPr>
              <w:pStyle w:val="TableBlock"/>
            </w:pPr>
            <w:r>
              <w:rPr>
                <w:rFonts w:hint="cs"/>
                <w:rtl/>
              </w:rPr>
              <w:t>בחוק הממשלה, התשס"א</w:t>
            </w:r>
            <w:r>
              <w:rPr>
                <w:rtl/>
              </w:rPr>
              <w:t>–</w:t>
            </w:r>
            <w:r>
              <w:rPr>
                <w:rFonts w:hint="cs"/>
                <w:rtl/>
              </w:rPr>
              <w:t>2021</w:t>
            </w:r>
            <w:r w:rsidR="00BF67BD" w:rsidRPr="00A63DCD">
              <w:rPr>
                <w:rStyle w:val="a5"/>
                <w:rFonts w:ascii="David" w:hAnsi="David"/>
                <w:sz w:val="26"/>
                <w:rtl/>
              </w:rPr>
              <w:footnoteReference w:id="2"/>
            </w:r>
            <w:r w:rsidR="00A63DCD">
              <w:rPr>
                <w:rFonts w:hint="cs"/>
                <w:rtl/>
              </w:rPr>
              <w:t>,</w:t>
            </w:r>
            <w:r w:rsidR="00A85D3A">
              <w:rPr>
                <w:rFonts w:hint="cs"/>
                <w:rtl/>
              </w:rPr>
              <w:t xml:space="preserve"> </w:t>
            </w:r>
            <w:r>
              <w:rPr>
                <w:rFonts w:hint="cs"/>
                <w:rtl/>
              </w:rPr>
              <w:t>אחרי סעיף 10 יבוא:</w:t>
            </w:r>
          </w:p>
        </w:tc>
      </w:tr>
      <w:tr w:rsidR="00FF2D4A" w14:paraId="1E965359" w14:textId="77777777" w:rsidTr="00A63DCD">
        <w:tc>
          <w:tcPr>
            <w:tcW w:w="1871" w:type="dxa"/>
          </w:tcPr>
          <w:p w14:paraId="738AB517" w14:textId="77777777" w:rsidR="00FF2D4A" w:rsidRDefault="00FF2D4A" w:rsidP="00156116">
            <w:pPr>
              <w:pStyle w:val="TableSideHeading"/>
            </w:pPr>
          </w:p>
        </w:tc>
        <w:tc>
          <w:tcPr>
            <w:tcW w:w="624" w:type="dxa"/>
          </w:tcPr>
          <w:p w14:paraId="2B5227B8" w14:textId="77777777" w:rsidR="00FF2D4A" w:rsidRDefault="00FF2D4A" w:rsidP="00156116">
            <w:pPr>
              <w:pStyle w:val="TableText"/>
              <w:jc w:val="both"/>
            </w:pPr>
          </w:p>
        </w:tc>
        <w:tc>
          <w:tcPr>
            <w:tcW w:w="1872" w:type="dxa"/>
            <w:gridSpan w:val="3"/>
          </w:tcPr>
          <w:p w14:paraId="09CA9B22" w14:textId="19BFE034" w:rsidR="00FF2D4A" w:rsidRPr="00A3671B" w:rsidRDefault="00FF2D4A" w:rsidP="00156116">
            <w:pPr>
              <w:pStyle w:val="TableInnerSideHeading"/>
            </w:pPr>
            <w:r>
              <w:rPr>
                <w:rFonts w:hint="cs"/>
                <w:rtl/>
              </w:rPr>
              <w:t>"</w:t>
            </w:r>
            <w:r w:rsidRPr="00A3671B">
              <w:rPr>
                <w:rFonts w:hint="cs"/>
                <w:rtl/>
              </w:rPr>
              <w:t>מסיבת עיתונאים עיתית</w:t>
            </w:r>
          </w:p>
        </w:tc>
        <w:tc>
          <w:tcPr>
            <w:tcW w:w="624" w:type="dxa"/>
          </w:tcPr>
          <w:p w14:paraId="3CAE204C" w14:textId="77777777" w:rsidR="00FF2D4A" w:rsidRDefault="00FF2D4A" w:rsidP="00156116">
            <w:pPr>
              <w:pStyle w:val="TableText"/>
              <w:jc w:val="both"/>
            </w:pPr>
            <w:r>
              <w:rPr>
                <w:rFonts w:hint="cs"/>
                <w:rtl/>
              </w:rPr>
              <w:t>10א.</w:t>
            </w:r>
          </w:p>
        </w:tc>
        <w:tc>
          <w:tcPr>
            <w:tcW w:w="4647" w:type="dxa"/>
          </w:tcPr>
          <w:p w14:paraId="7F19DF3E" w14:textId="0357A6E9" w:rsidR="00FF2D4A" w:rsidRPr="00F8671A" w:rsidRDefault="00FF2D4A" w:rsidP="00A63DCD">
            <w:pPr>
              <w:pStyle w:val="TableBlock"/>
            </w:pPr>
            <w:r>
              <w:rPr>
                <w:rFonts w:hint="cs"/>
                <w:rtl/>
              </w:rPr>
              <w:t>(א)</w:t>
            </w:r>
            <w:r>
              <w:rPr>
                <w:rtl/>
              </w:rPr>
              <w:tab/>
            </w:r>
            <w:r w:rsidRPr="00604289">
              <w:rPr>
                <w:rtl/>
              </w:rPr>
              <w:t xml:space="preserve">ראש הממשלה יקיים תדריך לנציגי גופי התקשורת שמרכז פעילותם בישראל מידי </w:t>
            </w:r>
            <w:r w:rsidR="00A63DCD">
              <w:rPr>
                <w:rFonts w:hint="cs"/>
                <w:rtl/>
              </w:rPr>
              <w:t>45</w:t>
            </w:r>
            <w:r w:rsidRPr="00604289">
              <w:rPr>
                <w:rtl/>
              </w:rPr>
              <w:t xml:space="preserve"> ימים, שיכלול לכל הפחות 60 דקות של מענה לשאלות של נציגי כלי התקשורת, שיוצגו במהלך התדריך.</w:t>
            </w:r>
          </w:p>
        </w:tc>
      </w:tr>
      <w:tr w:rsidR="00FF2D4A" w14:paraId="41274316" w14:textId="77777777" w:rsidTr="00A63DCD">
        <w:tc>
          <w:tcPr>
            <w:tcW w:w="1871" w:type="dxa"/>
          </w:tcPr>
          <w:p w14:paraId="080840B2" w14:textId="77777777" w:rsidR="00FF2D4A" w:rsidRDefault="00FF2D4A" w:rsidP="00156116">
            <w:pPr>
              <w:pStyle w:val="TableSideHeading"/>
            </w:pPr>
          </w:p>
        </w:tc>
        <w:tc>
          <w:tcPr>
            <w:tcW w:w="624" w:type="dxa"/>
          </w:tcPr>
          <w:p w14:paraId="3FA6AB74" w14:textId="77777777" w:rsidR="00FF2D4A" w:rsidRDefault="00FF2D4A" w:rsidP="00156116">
            <w:pPr>
              <w:pStyle w:val="TableText"/>
              <w:jc w:val="both"/>
            </w:pPr>
          </w:p>
        </w:tc>
        <w:tc>
          <w:tcPr>
            <w:tcW w:w="624" w:type="dxa"/>
          </w:tcPr>
          <w:p w14:paraId="780C6338" w14:textId="77777777" w:rsidR="00FF2D4A" w:rsidRDefault="00FF2D4A" w:rsidP="00156116">
            <w:pPr>
              <w:pStyle w:val="TableText"/>
              <w:jc w:val="both"/>
            </w:pPr>
          </w:p>
        </w:tc>
        <w:tc>
          <w:tcPr>
            <w:tcW w:w="624" w:type="dxa"/>
          </w:tcPr>
          <w:p w14:paraId="0E4752A2" w14:textId="77777777" w:rsidR="00FF2D4A" w:rsidRDefault="00FF2D4A" w:rsidP="00156116">
            <w:pPr>
              <w:pStyle w:val="TableText"/>
              <w:jc w:val="both"/>
            </w:pPr>
          </w:p>
        </w:tc>
        <w:tc>
          <w:tcPr>
            <w:tcW w:w="624" w:type="dxa"/>
          </w:tcPr>
          <w:p w14:paraId="6139CAEB" w14:textId="77777777" w:rsidR="00FF2D4A" w:rsidRPr="00A3671B" w:rsidRDefault="00FF2D4A" w:rsidP="00156116">
            <w:pPr>
              <w:pStyle w:val="TableText"/>
              <w:jc w:val="both"/>
            </w:pPr>
          </w:p>
        </w:tc>
        <w:tc>
          <w:tcPr>
            <w:tcW w:w="624" w:type="dxa"/>
          </w:tcPr>
          <w:p w14:paraId="012A90D0" w14:textId="77777777" w:rsidR="00FF2D4A" w:rsidRPr="00A3671B" w:rsidRDefault="00FF2D4A" w:rsidP="00156116">
            <w:pPr>
              <w:pStyle w:val="TableText"/>
              <w:jc w:val="both"/>
            </w:pPr>
          </w:p>
        </w:tc>
        <w:tc>
          <w:tcPr>
            <w:tcW w:w="4647" w:type="dxa"/>
          </w:tcPr>
          <w:p w14:paraId="59021D34" w14:textId="0D062410" w:rsidR="00FF2D4A" w:rsidRPr="00A3671B" w:rsidRDefault="00FF2D4A" w:rsidP="00A63DCD">
            <w:pPr>
              <w:pStyle w:val="TableBlock"/>
            </w:pPr>
            <w:r>
              <w:rPr>
                <w:rFonts w:hint="cs"/>
                <w:rtl/>
              </w:rPr>
              <w:t>(ב)</w:t>
            </w:r>
            <w:r w:rsidRPr="00604289">
              <w:rPr>
                <w:rtl/>
              </w:rPr>
              <w:t xml:space="preserve"> </w:t>
            </w:r>
            <w:r>
              <w:rPr>
                <w:rtl/>
              </w:rPr>
              <w:tab/>
            </w:r>
            <w:r w:rsidRPr="00604289">
              <w:rPr>
                <w:rtl/>
              </w:rPr>
              <w:t xml:space="preserve">בנסיבות חריגות הקשורות בביטחון המדינה או בסדר יומו של ראש הממשלה ניתן יהיה לדחות את מועד קיומו של התדריך מעבר לתקופת </w:t>
            </w:r>
            <w:r w:rsidR="00A63DCD">
              <w:rPr>
                <w:rFonts w:hint="cs"/>
                <w:rtl/>
              </w:rPr>
              <w:t>45</w:t>
            </w:r>
            <w:r w:rsidRPr="00604289">
              <w:rPr>
                <w:rtl/>
              </w:rPr>
              <w:t xml:space="preserve"> הימים לתקופה שלא תעלה על </w:t>
            </w:r>
            <w:r w:rsidR="00A63DCD">
              <w:rPr>
                <w:rFonts w:hint="cs"/>
                <w:rtl/>
              </w:rPr>
              <w:t>14</w:t>
            </w:r>
            <w:r w:rsidRPr="00604289">
              <w:rPr>
                <w:rtl/>
              </w:rPr>
              <w:t xml:space="preserve"> ימים.</w:t>
            </w:r>
          </w:p>
        </w:tc>
      </w:tr>
      <w:tr w:rsidR="00FF2D4A" w14:paraId="0A532B63" w14:textId="77777777" w:rsidTr="00A63DCD">
        <w:tc>
          <w:tcPr>
            <w:tcW w:w="1871" w:type="dxa"/>
          </w:tcPr>
          <w:p w14:paraId="1A457737" w14:textId="77777777" w:rsidR="00FF2D4A" w:rsidRDefault="00FF2D4A" w:rsidP="00156116">
            <w:pPr>
              <w:pStyle w:val="TableSideHeading"/>
            </w:pPr>
          </w:p>
        </w:tc>
        <w:tc>
          <w:tcPr>
            <w:tcW w:w="624" w:type="dxa"/>
          </w:tcPr>
          <w:p w14:paraId="75FB32BF" w14:textId="77777777" w:rsidR="00FF2D4A" w:rsidRDefault="00FF2D4A" w:rsidP="00156116">
            <w:pPr>
              <w:pStyle w:val="TableText"/>
              <w:jc w:val="both"/>
            </w:pPr>
          </w:p>
        </w:tc>
        <w:tc>
          <w:tcPr>
            <w:tcW w:w="624" w:type="dxa"/>
          </w:tcPr>
          <w:p w14:paraId="40D6CB50" w14:textId="77777777" w:rsidR="00FF2D4A" w:rsidRDefault="00FF2D4A" w:rsidP="00156116">
            <w:pPr>
              <w:pStyle w:val="TableText"/>
              <w:jc w:val="both"/>
            </w:pPr>
          </w:p>
        </w:tc>
        <w:tc>
          <w:tcPr>
            <w:tcW w:w="624" w:type="dxa"/>
          </w:tcPr>
          <w:p w14:paraId="0B4294B5" w14:textId="77777777" w:rsidR="00FF2D4A" w:rsidRDefault="00FF2D4A" w:rsidP="00156116">
            <w:pPr>
              <w:pStyle w:val="TableText"/>
              <w:jc w:val="both"/>
            </w:pPr>
          </w:p>
        </w:tc>
        <w:tc>
          <w:tcPr>
            <w:tcW w:w="624" w:type="dxa"/>
          </w:tcPr>
          <w:p w14:paraId="144F92A9" w14:textId="77777777" w:rsidR="00FF2D4A" w:rsidRPr="00A3671B" w:rsidRDefault="00FF2D4A" w:rsidP="00156116">
            <w:pPr>
              <w:pStyle w:val="TableText"/>
              <w:jc w:val="both"/>
            </w:pPr>
          </w:p>
        </w:tc>
        <w:tc>
          <w:tcPr>
            <w:tcW w:w="624" w:type="dxa"/>
          </w:tcPr>
          <w:p w14:paraId="4BBA2BFE" w14:textId="77777777" w:rsidR="00FF2D4A" w:rsidRPr="00A3671B" w:rsidRDefault="00FF2D4A" w:rsidP="00156116">
            <w:pPr>
              <w:pStyle w:val="TableText"/>
              <w:jc w:val="both"/>
            </w:pPr>
          </w:p>
        </w:tc>
        <w:tc>
          <w:tcPr>
            <w:tcW w:w="4647" w:type="dxa"/>
          </w:tcPr>
          <w:p w14:paraId="40369DDE" w14:textId="77777777" w:rsidR="00FF2D4A" w:rsidRPr="00A3671B" w:rsidRDefault="00FF2D4A" w:rsidP="00A63DCD">
            <w:pPr>
              <w:pStyle w:val="TableBlock"/>
            </w:pPr>
            <w:r>
              <w:rPr>
                <w:rFonts w:hint="cs"/>
                <w:rtl/>
              </w:rPr>
              <w:t>(ג)</w:t>
            </w:r>
            <w:r>
              <w:rPr>
                <w:rtl/>
              </w:rPr>
              <w:tab/>
            </w:r>
            <w:r w:rsidRPr="00604289">
              <w:rPr>
                <w:rtl/>
              </w:rPr>
              <w:t>התדריך יתקיים בשפה העברית וינוהל על ידי לשכת העיתונות הממשלתית.</w:t>
            </w:r>
          </w:p>
        </w:tc>
      </w:tr>
      <w:tr w:rsidR="00FF2D4A" w14:paraId="65FBBF86" w14:textId="77777777" w:rsidTr="00A63DCD">
        <w:tc>
          <w:tcPr>
            <w:tcW w:w="1871" w:type="dxa"/>
          </w:tcPr>
          <w:p w14:paraId="33B4315C" w14:textId="77777777" w:rsidR="00FF2D4A" w:rsidRDefault="00FF2D4A" w:rsidP="00156116">
            <w:pPr>
              <w:pStyle w:val="TableSideHeading"/>
            </w:pPr>
          </w:p>
        </w:tc>
        <w:tc>
          <w:tcPr>
            <w:tcW w:w="624" w:type="dxa"/>
          </w:tcPr>
          <w:p w14:paraId="22D65956" w14:textId="77777777" w:rsidR="00FF2D4A" w:rsidRDefault="00FF2D4A" w:rsidP="00156116">
            <w:pPr>
              <w:pStyle w:val="TableText"/>
              <w:jc w:val="both"/>
            </w:pPr>
          </w:p>
        </w:tc>
        <w:tc>
          <w:tcPr>
            <w:tcW w:w="624" w:type="dxa"/>
          </w:tcPr>
          <w:p w14:paraId="142DF397" w14:textId="77777777" w:rsidR="00FF2D4A" w:rsidRDefault="00FF2D4A" w:rsidP="00156116">
            <w:pPr>
              <w:pStyle w:val="TableText"/>
              <w:jc w:val="both"/>
            </w:pPr>
          </w:p>
        </w:tc>
        <w:tc>
          <w:tcPr>
            <w:tcW w:w="624" w:type="dxa"/>
          </w:tcPr>
          <w:p w14:paraId="41E695F0" w14:textId="77777777" w:rsidR="00FF2D4A" w:rsidRDefault="00FF2D4A" w:rsidP="00156116">
            <w:pPr>
              <w:pStyle w:val="TableText"/>
              <w:jc w:val="both"/>
            </w:pPr>
          </w:p>
        </w:tc>
        <w:tc>
          <w:tcPr>
            <w:tcW w:w="624" w:type="dxa"/>
          </w:tcPr>
          <w:p w14:paraId="4612E6DD" w14:textId="77777777" w:rsidR="00FF2D4A" w:rsidRPr="00A3671B" w:rsidRDefault="00FF2D4A" w:rsidP="00156116">
            <w:pPr>
              <w:pStyle w:val="TableText"/>
              <w:jc w:val="both"/>
            </w:pPr>
          </w:p>
        </w:tc>
        <w:tc>
          <w:tcPr>
            <w:tcW w:w="624" w:type="dxa"/>
          </w:tcPr>
          <w:p w14:paraId="5E2F7B7C" w14:textId="77777777" w:rsidR="00FF2D4A" w:rsidRPr="00A3671B" w:rsidRDefault="00FF2D4A" w:rsidP="00156116">
            <w:pPr>
              <w:pStyle w:val="TableText"/>
              <w:jc w:val="both"/>
            </w:pPr>
          </w:p>
        </w:tc>
        <w:tc>
          <w:tcPr>
            <w:tcW w:w="4647" w:type="dxa"/>
          </w:tcPr>
          <w:p w14:paraId="5EA11DA9" w14:textId="77777777" w:rsidR="00FF2D4A" w:rsidRPr="00A3671B" w:rsidRDefault="00FF2D4A" w:rsidP="00A63DCD">
            <w:pPr>
              <w:pStyle w:val="TableBlock"/>
            </w:pPr>
            <w:r>
              <w:rPr>
                <w:rFonts w:hint="cs"/>
                <w:rtl/>
              </w:rPr>
              <w:t>(ד)</w:t>
            </w:r>
            <w:r>
              <w:rPr>
                <w:rtl/>
              </w:rPr>
              <w:tab/>
            </w:r>
            <w:r w:rsidRPr="00604289">
              <w:rPr>
                <w:rtl/>
              </w:rPr>
              <w:t xml:space="preserve">לתדריך יוזמנו נציגי תאגיד השידור הישראלי בערוצים המשדרים בשפה העברית והערבית, חברות החדשות של ערוצי הטלוויזיה המסחריים, הערוצים הזעירים והייעודיים, ערוצי הרדיו האזוריים, עיתונים ושבועונים בעלי תפוצה של מאה אלף עותקים ואתרי אינטרנט המפרסמים תכני חדשות הזוכים לכל הפחות </w:t>
            </w:r>
            <w:r w:rsidRPr="00604289">
              <w:rPr>
                <w:rtl/>
              </w:rPr>
              <w:lastRenderedPageBreak/>
              <w:t>לחמש מאות אלף צפיות מדי יום.</w:t>
            </w:r>
          </w:p>
        </w:tc>
      </w:tr>
      <w:tr w:rsidR="00FF2D4A" w14:paraId="5EF64F16" w14:textId="77777777" w:rsidTr="00A63DCD">
        <w:tc>
          <w:tcPr>
            <w:tcW w:w="1871" w:type="dxa"/>
          </w:tcPr>
          <w:p w14:paraId="05EF5D70" w14:textId="77777777" w:rsidR="00FF2D4A" w:rsidRDefault="00FF2D4A" w:rsidP="00156116">
            <w:pPr>
              <w:pStyle w:val="TableSideHeading"/>
            </w:pPr>
          </w:p>
        </w:tc>
        <w:tc>
          <w:tcPr>
            <w:tcW w:w="624" w:type="dxa"/>
          </w:tcPr>
          <w:p w14:paraId="4AE0386D" w14:textId="77777777" w:rsidR="00FF2D4A" w:rsidRDefault="00FF2D4A" w:rsidP="00156116">
            <w:pPr>
              <w:pStyle w:val="TableText"/>
              <w:jc w:val="both"/>
            </w:pPr>
          </w:p>
        </w:tc>
        <w:tc>
          <w:tcPr>
            <w:tcW w:w="624" w:type="dxa"/>
          </w:tcPr>
          <w:p w14:paraId="16E183EB" w14:textId="77777777" w:rsidR="00FF2D4A" w:rsidRDefault="00FF2D4A" w:rsidP="00156116">
            <w:pPr>
              <w:pStyle w:val="TableText"/>
              <w:jc w:val="both"/>
            </w:pPr>
          </w:p>
        </w:tc>
        <w:tc>
          <w:tcPr>
            <w:tcW w:w="624" w:type="dxa"/>
          </w:tcPr>
          <w:p w14:paraId="648E8B70" w14:textId="77777777" w:rsidR="00FF2D4A" w:rsidRDefault="00FF2D4A" w:rsidP="00156116">
            <w:pPr>
              <w:pStyle w:val="TableText"/>
              <w:jc w:val="both"/>
            </w:pPr>
          </w:p>
        </w:tc>
        <w:tc>
          <w:tcPr>
            <w:tcW w:w="624" w:type="dxa"/>
          </w:tcPr>
          <w:p w14:paraId="4B8822F3" w14:textId="77777777" w:rsidR="00FF2D4A" w:rsidRPr="00A3671B" w:rsidRDefault="00FF2D4A" w:rsidP="00156116">
            <w:pPr>
              <w:pStyle w:val="TableText"/>
              <w:jc w:val="both"/>
            </w:pPr>
          </w:p>
        </w:tc>
        <w:tc>
          <w:tcPr>
            <w:tcW w:w="624" w:type="dxa"/>
          </w:tcPr>
          <w:p w14:paraId="40B1A742" w14:textId="77777777" w:rsidR="00FF2D4A" w:rsidRPr="00A3671B" w:rsidRDefault="00FF2D4A" w:rsidP="00156116">
            <w:pPr>
              <w:pStyle w:val="TableText"/>
              <w:jc w:val="both"/>
            </w:pPr>
          </w:p>
        </w:tc>
        <w:tc>
          <w:tcPr>
            <w:tcW w:w="4647" w:type="dxa"/>
          </w:tcPr>
          <w:p w14:paraId="7A6A66CA" w14:textId="10A365C8" w:rsidR="00FF2D4A" w:rsidRPr="00A3671B" w:rsidRDefault="00FF2D4A" w:rsidP="00A63DCD">
            <w:pPr>
              <w:pStyle w:val="TableBlock"/>
            </w:pPr>
            <w:r>
              <w:rPr>
                <w:rFonts w:hint="cs"/>
                <w:rtl/>
              </w:rPr>
              <w:t>(ה)</w:t>
            </w:r>
            <w:r>
              <w:rPr>
                <w:rtl/>
              </w:rPr>
              <w:tab/>
              <w:t xml:space="preserve">לשכת העיתונות הממשלתית רשאית להזמין לתדריך נציגים של גופי תקשורת נוספים, ובלבד שתינתן זכות קדימה בהצגת השאלות לנציגי גופי התקשורת המנויים בסעיף </w:t>
            </w:r>
            <w:r w:rsidR="00BF67BD">
              <w:rPr>
                <w:rFonts w:hint="cs"/>
                <w:rtl/>
              </w:rPr>
              <w:t>קטן (ד)</w:t>
            </w:r>
            <w:r>
              <w:rPr>
                <w:rtl/>
              </w:rPr>
              <w:t>.</w:t>
            </w:r>
          </w:p>
        </w:tc>
      </w:tr>
      <w:tr w:rsidR="00FF2D4A" w14:paraId="4BEBB6E3" w14:textId="77777777" w:rsidTr="00A63DCD">
        <w:tc>
          <w:tcPr>
            <w:tcW w:w="1871" w:type="dxa"/>
          </w:tcPr>
          <w:p w14:paraId="2A44FB00" w14:textId="77777777" w:rsidR="00FF2D4A" w:rsidRDefault="00FF2D4A" w:rsidP="00156116">
            <w:pPr>
              <w:pStyle w:val="TableSideHeading"/>
            </w:pPr>
          </w:p>
        </w:tc>
        <w:tc>
          <w:tcPr>
            <w:tcW w:w="624" w:type="dxa"/>
          </w:tcPr>
          <w:p w14:paraId="335DFA14" w14:textId="77777777" w:rsidR="00FF2D4A" w:rsidRDefault="00FF2D4A" w:rsidP="00156116">
            <w:pPr>
              <w:pStyle w:val="TableText"/>
            </w:pPr>
          </w:p>
        </w:tc>
        <w:tc>
          <w:tcPr>
            <w:tcW w:w="624" w:type="dxa"/>
          </w:tcPr>
          <w:p w14:paraId="374FAB41" w14:textId="77777777" w:rsidR="00FF2D4A" w:rsidRDefault="00FF2D4A" w:rsidP="00156116">
            <w:pPr>
              <w:pStyle w:val="TableText"/>
              <w:jc w:val="both"/>
            </w:pPr>
          </w:p>
        </w:tc>
        <w:tc>
          <w:tcPr>
            <w:tcW w:w="624" w:type="dxa"/>
          </w:tcPr>
          <w:p w14:paraId="0669BC3A" w14:textId="77777777" w:rsidR="00FF2D4A" w:rsidRDefault="00FF2D4A" w:rsidP="00156116">
            <w:pPr>
              <w:pStyle w:val="TableText"/>
              <w:jc w:val="both"/>
            </w:pPr>
          </w:p>
        </w:tc>
        <w:tc>
          <w:tcPr>
            <w:tcW w:w="624" w:type="dxa"/>
          </w:tcPr>
          <w:p w14:paraId="2166A7DB" w14:textId="77777777" w:rsidR="00FF2D4A" w:rsidRPr="00A3671B" w:rsidRDefault="00FF2D4A" w:rsidP="00156116">
            <w:pPr>
              <w:pStyle w:val="TableText"/>
              <w:jc w:val="both"/>
            </w:pPr>
          </w:p>
        </w:tc>
        <w:tc>
          <w:tcPr>
            <w:tcW w:w="624" w:type="dxa"/>
          </w:tcPr>
          <w:p w14:paraId="7A424B88" w14:textId="77777777" w:rsidR="00FF2D4A" w:rsidRPr="00A3671B" w:rsidRDefault="00FF2D4A" w:rsidP="00156116">
            <w:pPr>
              <w:pStyle w:val="TableText"/>
              <w:jc w:val="both"/>
            </w:pPr>
          </w:p>
        </w:tc>
        <w:tc>
          <w:tcPr>
            <w:tcW w:w="4647" w:type="dxa"/>
          </w:tcPr>
          <w:p w14:paraId="5C588B7A" w14:textId="75EAB71B" w:rsidR="00FF2D4A" w:rsidRDefault="00FF2D4A" w:rsidP="00A63DCD">
            <w:pPr>
              <w:pStyle w:val="TableBlock"/>
              <w:rPr>
                <w:rtl/>
              </w:rPr>
            </w:pPr>
            <w:r>
              <w:rPr>
                <w:rFonts w:hint="cs"/>
                <w:rtl/>
              </w:rPr>
              <w:t>(ו)</w:t>
            </w:r>
            <w:r>
              <w:rPr>
                <w:rtl/>
              </w:rPr>
              <w:tab/>
            </w:r>
            <w:r w:rsidRPr="00A3671B">
              <w:rPr>
                <w:rtl/>
              </w:rPr>
              <w:t>התדריך יתקיים במשרד ראש הממשלה בירושלים או בכנסת</w:t>
            </w:r>
            <w:r w:rsidR="008E7244">
              <w:rPr>
                <w:rFonts w:hint="cs"/>
                <w:rtl/>
              </w:rPr>
              <w:t>;</w:t>
            </w:r>
            <w:r w:rsidRPr="00A3671B">
              <w:rPr>
                <w:rtl/>
              </w:rPr>
              <w:t xml:space="preserve"> ניתן יהיה לקיים את התדריך במקום אחר מטעמים מיוחדים הנוגעים לאבטחת ראש הממשלה או לביטחון הלאומי.</w:t>
            </w:r>
            <w:r w:rsidR="00F3503F">
              <w:rPr>
                <w:rFonts w:hint="cs"/>
                <w:rtl/>
              </w:rPr>
              <w:t>"</w:t>
            </w:r>
          </w:p>
        </w:tc>
      </w:tr>
    </w:tbl>
    <w:p w14:paraId="7F6961CB" w14:textId="592D6B0F" w:rsidR="00E13C27" w:rsidRPr="00B75F10" w:rsidRDefault="002D1EE3" w:rsidP="00B75F10">
      <w:pPr>
        <w:pStyle w:val="HeadDivreiHesber"/>
        <w:rPr>
          <w:rFonts w:ascii="David" w:hAnsi="David"/>
          <w:rtl/>
        </w:rPr>
      </w:pPr>
      <w:r w:rsidRPr="00B75F10">
        <w:rPr>
          <w:rFonts w:ascii="David" w:hAnsi="David"/>
          <w:rtl/>
        </w:rPr>
        <w:t>דברי הסבר</w:t>
      </w:r>
    </w:p>
    <w:p w14:paraId="0EBFAED8" w14:textId="77777777" w:rsidR="00B73C84" w:rsidRPr="00D170F2" w:rsidRDefault="00B73C84" w:rsidP="00D170F2">
      <w:pPr>
        <w:pStyle w:val="Hesber"/>
        <w:rPr>
          <w:rtl/>
        </w:rPr>
      </w:pPr>
      <w:r w:rsidRPr="00D170F2">
        <w:rPr>
          <w:rtl/>
        </w:rPr>
        <w:t>פעילותם של גופי תקשורת ציבוריים ומסחריים בתחום החדשות והאקטואליה ומימושו של חופש העיתונות הלכה למעשה הם נדבך משמעותי בהבטחת מרקם החיים הדמוקרטי. נדבך משמעותי נוסף בהבטחת אותו המרקם היא השקיפות של הפעולה השלטונית ותודעתם של נבחרי הציבור כי הם נדרשים לתת דין וחשבון לאזרחי המדינה.</w:t>
      </w:r>
    </w:p>
    <w:p w14:paraId="6AA346BE" w14:textId="77777777" w:rsidR="00B73C84" w:rsidRPr="00D170F2" w:rsidRDefault="00B73C84" w:rsidP="00D170F2">
      <w:pPr>
        <w:pStyle w:val="Hesber"/>
        <w:rPr>
          <w:rtl/>
        </w:rPr>
      </w:pPr>
      <w:r w:rsidRPr="00D170F2">
        <w:rPr>
          <w:rtl/>
        </w:rPr>
        <w:t>לצידם של מנגנונים שונים המקדמים שקיפות וביקורת ציבורית על פעולות הממשלה, ישנה חשיבות לקיומו של דיאלוג ישיר בין גופי התקשורת לבין ראש הממשלה, העומד בראש הרשות המבצעת, ולקיום שגרה תקשורתית בה ראש הממשלה משיב לשאלותיהם של נציגי גופי התקשורת הפועלים בישראל.</w:t>
      </w:r>
    </w:p>
    <w:p w14:paraId="14DDE2A8" w14:textId="77777777" w:rsidR="00B73C84" w:rsidRPr="00D170F2" w:rsidRDefault="00B73C84" w:rsidP="00A63DCD">
      <w:pPr>
        <w:pStyle w:val="Hesber"/>
        <w:rPr>
          <w:rtl/>
        </w:rPr>
      </w:pPr>
      <w:r w:rsidRPr="00D170F2">
        <w:rPr>
          <w:rtl/>
        </w:rPr>
        <w:t>דיאלוג ישיר זה יכול להתקיים באופנים שונים, אך מן הראוי לצקת לו גם תבנית רשמית</w:t>
      </w:r>
      <w:r w:rsidRPr="00D170F2">
        <w:t xml:space="preserve"> </w:t>
      </w:r>
      <w:r w:rsidRPr="00D170F2">
        <w:rPr>
          <w:rtl/>
        </w:rPr>
        <w:t>ומחייבת אשר תגדיר את הרף המזערי לקיומו. צורך זה נובע בין השאר מנטייתם של נבחרי ציבור בשנים האחרונות להימנע מקיום מסיבות עיתונאים ולענות לשאלות ישירות של גופי התקשורת. בנוסף קשור צורך זה בשימוש ההולך וגובר של נבחרי ציבור ברשתות החברתיות ובתופעה המתרחבת של הפצת חדשות כזב. מגמות אלו מצדיקות את חיזוק מעמדם של גופי התקשורת הממוסדים, המחויבים לאתיקה עיתונאית ולסטנדרטיים מקצועיים, ואת חובתם של נבחרי הציבור להתייחס לזכות הציבור הרחב לקבל מהם דין וחשבון.</w:t>
      </w:r>
    </w:p>
    <w:p w14:paraId="5D5D02DB" w14:textId="5E4F6A97" w:rsidR="00BF67BD" w:rsidRPr="00D170F2" w:rsidRDefault="00BF67BD" w:rsidP="00A63DCD">
      <w:pPr>
        <w:pStyle w:val="Hesber"/>
      </w:pPr>
      <w:r w:rsidRPr="00D170F2">
        <w:rPr>
          <w:rFonts w:hint="eastAsia"/>
          <w:rtl/>
        </w:rPr>
        <w:t>בהתאם</w:t>
      </w:r>
      <w:r w:rsidRPr="00D170F2">
        <w:rPr>
          <w:rtl/>
        </w:rPr>
        <w:t xml:space="preserve"> לכך, מוצע לקבוע כי ראש הממשלה יהיה חייב לקיים מסיבת עיתונאים לגופי התקשורת המרכזיים בישראל שבה יענה לשאלותיהם. מוצע כי מסיבת </w:t>
      </w:r>
      <w:r w:rsidR="003B4E91" w:rsidRPr="00D170F2">
        <w:rPr>
          <w:rFonts w:hint="eastAsia"/>
          <w:rtl/>
        </w:rPr>
        <w:t>עיתונאים</w:t>
      </w:r>
      <w:r w:rsidR="003B4E91" w:rsidRPr="00D170F2">
        <w:rPr>
          <w:rtl/>
        </w:rPr>
        <w:t xml:space="preserve"> </w:t>
      </w:r>
      <w:r w:rsidR="003B4E91" w:rsidRPr="00D170F2">
        <w:rPr>
          <w:rFonts w:hint="eastAsia"/>
          <w:rtl/>
        </w:rPr>
        <w:t>זו</w:t>
      </w:r>
      <w:r w:rsidR="003B4E91" w:rsidRPr="00D170F2">
        <w:rPr>
          <w:rtl/>
        </w:rPr>
        <w:t xml:space="preserve"> </w:t>
      </w:r>
      <w:r w:rsidR="003B4E91" w:rsidRPr="00D170F2">
        <w:rPr>
          <w:rFonts w:hint="eastAsia"/>
          <w:rtl/>
        </w:rPr>
        <w:t>תתקיים</w:t>
      </w:r>
      <w:r w:rsidR="003B4E91" w:rsidRPr="00D170F2">
        <w:rPr>
          <w:rtl/>
        </w:rPr>
        <w:t xml:space="preserve"> </w:t>
      </w:r>
      <w:r w:rsidR="003B4E91" w:rsidRPr="00D170F2">
        <w:rPr>
          <w:rFonts w:hint="eastAsia"/>
          <w:rtl/>
        </w:rPr>
        <w:t>לפחות</w:t>
      </w:r>
      <w:r w:rsidR="003B4E91" w:rsidRPr="00D170F2">
        <w:rPr>
          <w:rtl/>
        </w:rPr>
        <w:t xml:space="preserve"> </w:t>
      </w:r>
      <w:r w:rsidR="003B4E91" w:rsidRPr="00D170F2">
        <w:rPr>
          <w:rFonts w:hint="eastAsia"/>
          <w:rtl/>
        </w:rPr>
        <w:t>אחת</w:t>
      </w:r>
      <w:r w:rsidR="003B4E91" w:rsidRPr="00D170F2">
        <w:rPr>
          <w:rtl/>
        </w:rPr>
        <w:t xml:space="preserve"> </w:t>
      </w:r>
      <w:r w:rsidR="003B4E91" w:rsidRPr="00D170F2">
        <w:rPr>
          <w:rFonts w:hint="eastAsia"/>
          <w:rtl/>
        </w:rPr>
        <w:t>ל</w:t>
      </w:r>
      <w:r w:rsidR="00A63DCD">
        <w:rPr>
          <w:rFonts w:hint="cs"/>
          <w:rtl/>
        </w:rPr>
        <w:t>-</w:t>
      </w:r>
      <w:r w:rsidR="003B4E91" w:rsidRPr="00D170F2">
        <w:rPr>
          <w:rtl/>
        </w:rPr>
        <w:t xml:space="preserve">45 </w:t>
      </w:r>
      <w:r w:rsidR="003B4E91" w:rsidRPr="00D170F2">
        <w:rPr>
          <w:rFonts w:hint="eastAsia"/>
          <w:rtl/>
        </w:rPr>
        <w:t>ימים</w:t>
      </w:r>
      <w:r w:rsidR="003B4E91" w:rsidRPr="00D170F2">
        <w:rPr>
          <w:rtl/>
        </w:rPr>
        <w:t xml:space="preserve">, </w:t>
      </w:r>
      <w:r w:rsidR="003B4E91" w:rsidRPr="00D170F2">
        <w:rPr>
          <w:rFonts w:hint="eastAsia"/>
          <w:rtl/>
        </w:rPr>
        <w:t>בהתאם</w:t>
      </w:r>
      <w:r w:rsidR="003B4E91" w:rsidRPr="00D170F2">
        <w:rPr>
          <w:rtl/>
        </w:rPr>
        <w:t xml:space="preserve"> </w:t>
      </w:r>
      <w:r w:rsidR="003B4E91" w:rsidRPr="00D170F2">
        <w:rPr>
          <w:rFonts w:hint="eastAsia"/>
          <w:rtl/>
        </w:rPr>
        <w:t>לתנאים</w:t>
      </w:r>
      <w:r w:rsidR="003B4E91" w:rsidRPr="00D170F2">
        <w:rPr>
          <w:rtl/>
        </w:rPr>
        <w:t xml:space="preserve"> </w:t>
      </w:r>
      <w:r w:rsidR="003B4E91" w:rsidRPr="00D170F2">
        <w:rPr>
          <w:rFonts w:hint="eastAsia"/>
          <w:rtl/>
        </w:rPr>
        <w:t>שמפורטים</w:t>
      </w:r>
      <w:r w:rsidR="003B4E91" w:rsidRPr="00D170F2">
        <w:rPr>
          <w:rtl/>
        </w:rPr>
        <w:t xml:space="preserve"> </w:t>
      </w:r>
      <w:r w:rsidR="003B4E91" w:rsidRPr="00D170F2">
        <w:rPr>
          <w:rFonts w:hint="eastAsia"/>
          <w:rtl/>
        </w:rPr>
        <w:t>בהצעה</w:t>
      </w:r>
      <w:r w:rsidR="003B4E91" w:rsidRPr="00D170F2">
        <w:rPr>
          <w:rtl/>
        </w:rPr>
        <w:t>.</w:t>
      </w:r>
    </w:p>
    <w:p w14:paraId="36B283C2" w14:textId="77777777" w:rsidR="00B73C84" w:rsidRPr="00B73C84" w:rsidRDefault="00B73C84" w:rsidP="00B73C84">
      <w:pPr>
        <w:pStyle w:val="Hesber1st"/>
        <w:tabs>
          <w:tab w:val="clear" w:pos="680"/>
        </w:tabs>
        <w:jc w:val="left"/>
        <w:rPr>
          <w:rtl/>
        </w:rPr>
      </w:pPr>
    </w:p>
    <w:p w14:paraId="0B260AB3" w14:textId="77777777" w:rsidR="00651C1C" w:rsidRDefault="00A63DCD">
      <w:pPr>
        <w:jc w:val="left"/>
      </w:pPr>
      <w:bookmarkStart w:id="9" w:name="selectedDocDateB"/>
      <w:bookmarkEnd w:id="9"/>
      <w:r>
        <w:rPr>
          <w:rFonts w:eastAsia="David" w:hint="cs"/>
          <w:sz w:val="26"/>
          <w:szCs w:val="26"/>
          <w:rtl/>
        </w:rPr>
        <w:t>--------------------------------</w:t>
      </w:r>
    </w:p>
    <w:p w14:paraId="4D751F10" w14:textId="77777777" w:rsidR="00651C1C" w:rsidRDefault="00A63DCD">
      <w:pPr>
        <w:jc w:val="left"/>
      </w:pPr>
      <w:r>
        <w:rPr>
          <w:rFonts w:eastAsia="David" w:hint="cs"/>
          <w:sz w:val="26"/>
          <w:szCs w:val="26"/>
          <w:rtl/>
        </w:rPr>
        <w:t>הוגשה ליו"ר הכנסת והסגנים</w:t>
      </w:r>
    </w:p>
    <w:p w14:paraId="21357ED5" w14:textId="77777777" w:rsidR="00651C1C" w:rsidRDefault="00A63DCD">
      <w:pPr>
        <w:jc w:val="left"/>
      </w:pPr>
      <w:r>
        <w:rPr>
          <w:rFonts w:eastAsia="David" w:hint="cs"/>
          <w:sz w:val="26"/>
          <w:szCs w:val="26"/>
          <w:rtl/>
        </w:rPr>
        <w:t>והונחה על שולחן הכנסת ביום</w:t>
      </w:r>
    </w:p>
    <w:p w14:paraId="1C4F78F0" w14:textId="77777777" w:rsidR="00651C1C" w:rsidRDefault="00A63DCD">
      <w:pPr>
        <w:jc w:val="left"/>
      </w:pPr>
      <w:r>
        <w:rPr>
          <w:rFonts w:eastAsia="David" w:hint="cs"/>
          <w:sz w:val="26"/>
          <w:szCs w:val="26"/>
          <w:rtl/>
        </w:rPr>
        <w:t xml:space="preserve">ב' בתמוז התשפ"ד (08.07.2024) </w:t>
      </w:r>
    </w:p>
    <w:p w14:paraId="22FAD0B9" w14:textId="77777777" w:rsidR="00651C1C" w:rsidRDefault="00651C1C">
      <w:pPr>
        <w:spacing w:line="276" w:lineRule="auto"/>
        <w:jc w:val="left"/>
      </w:pPr>
    </w:p>
    <w:sectPr w:rsidR="00651C1C" w:rsidSect="00A63DCD">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5E870" w14:textId="77777777" w:rsidR="00D142D3" w:rsidRDefault="00D142D3">
      <w:r>
        <w:separator/>
      </w:r>
    </w:p>
  </w:endnote>
  <w:endnote w:type="continuationSeparator" w:id="0">
    <w:p w14:paraId="35E9AB39" w14:textId="77777777" w:rsidR="00D142D3" w:rsidRDefault="00D142D3">
      <w:r>
        <w:continuationSeparator/>
      </w:r>
    </w:p>
  </w:endnote>
  <w:endnote w:type="continuationNotice" w:id="1">
    <w:p w14:paraId="0BF6BDB7"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03E29C2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9F55D1">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6F2AD" w14:textId="77777777" w:rsidR="00D142D3" w:rsidRDefault="00D142D3" w:rsidP="00A63DCD">
      <w:pPr>
        <w:ind w:left="0"/>
      </w:pPr>
      <w:r>
        <w:separator/>
      </w:r>
    </w:p>
  </w:footnote>
  <w:footnote w:type="continuationSeparator" w:id="0">
    <w:p w14:paraId="0F0599CC" w14:textId="77777777" w:rsidR="00D142D3" w:rsidRDefault="00D142D3">
      <w:r>
        <w:continuationSeparator/>
      </w:r>
    </w:p>
  </w:footnote>
  <w:footnote w:type="continuationNotice" w:id="1">
    <w:p w14:paraId="7AE3991E" w14:textId="77777777" w:rsidR="00D142D3" w:rsidRDefault="00D142D3"/>
  </w:footnote>
  <w:footnote w:id="2">
    <w:p w14:paraId="0BC44222" w14:textId="037A7FF4" w:rsidR="00BF67BD" w:rsidRDefault="00BF67BD">
      <w:pPr>
        <w:pStyle w:val="a4"/>
        <w:rPr>
          <w:rtl/>
        </w:rPr>
      </w:pPr>
      <w:r>
        <w:rPr>
          <w:rStyle w:val="a5"/>
        </w:rPr>
        <w:footnoteRef/>
      </w:r>
      <w:r>
        <w:rPr>
          <w:rtl/>
        </w:rPr>
        <w:t xml:space="preserve"> </w:t>
      </w:r>
      <w:r w:rsidR="00D170F2">
        <w:rPr>
          <w:rFonts w:hint="cs"/>
          <w:rtl/>
        </w:rPr>
        <w:t>ס"ח התשס"א, עמ' 168.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144E28"/>
    <w:multiLevelType w:val="hybridMultilevel"/>
    <w:tmpl w:val="55E22A5A"/>
    <w:lvl w:ilvl="0" w:tplc="59F8198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64974BB7"/>
    <w:multiLevelType w:val="hybridMultilevel"/>
    <w:tmpl w:val="03C87D98"/>
    <w:lvl w:ilvl="0" w:tplc="783E500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1"/>
  </w:num>
  <w:num w:numId="14">
    <w:abstractNumId w:val="18"/>
  </w:num>
  <w:num w:numId="15">
    <w:abstractNumId w:val="16"/>
  </w:num>
  <w:num w:numId="16">
    <w:abstractNumId w:val="13"/>
  </w:num>
  <w:num w:numId="17">
    <w:abstractNumId w:val="14"/>
  </w:num>
  <w:num w:numId="18">
    <w:abstractNumId w:val="14"/>
    <w:lvlOverride w:ilvl="0">
      <w:startOverride w:val="1"/>
    </w:lvlOverride>
  </w:num>
  <w:num w:numId="19">
    <w:abstractNumId w:val="1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177DC"/>
    <w:rsid w:val="003232A2"/>
    <w:rsid w:val="00325C14"/>
    <w:rsid w:val="00355865"/>
    <w:rsid w:val="0036422C"/>
    <w:rsid w:val="003710F6"/>
    <w:rsid w:val="00386E88"/>
    <w:rsid w:val="00396585"/>
    <w:rsid w:val="003B4E91"/>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04289"/>
    <w:rsid w:val="0062674B"/>
    <w:rsid w:val="006363B2"/>
    <w:rsid w:val="00644940"/>
    <w:rsid w:val="00651C1C"/>
    <w:rsid w:val="006818A9"/>
    <w:rsid w:val="006A2D81"/>
    <w:rsid w:val="006B5DF8"/>
    <w:rsid w:val="006C1D0D"/>
    <w:rsid w:val="0070601E"/>
    <w:rsid w:val="00712C72"/>
    <w:rsid w:val="00717993"/>
    <w:rsid w:val="00735FE9"/>
    <w:rsid w:val="00763CAA"/>
    <w:rsid w:val="00765F66"/>
    <w:rsid w:val="00775C3A"/>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E7244"/>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9F55D1"/>
    <w:rsid w:val="00A14672"/>
    <w:rsid w:val="00A26BD6"/>
    <w:rsid w:val="00A443CF"/>
    <w:rsid w:val="00A63DCD"/>
    <w:rsid w:val="00A6611D"/>
    <w:rsid w:val="00A82CB7"/>
    <w:rsid w:val="00A85D3A"/>
    <w:rsid w:val="00A942C1"/>
    <w:rsid w:val="00AA2F03"/>
    <w:rsid w:val="00AC36F7"/>
    <w:rsid w:val="00AC63A4"/>
    <w:rsid w:val="00AD239E"/>
    <w:rsid w:val="00B10265"/>
    <w:rsid w:val="00B16A99"/>
    <w:rsid w:val="00B21211"/>
    <w:rsid w:val="00B35784"/>
    <w:rsid w:val="00B733A7"/>
    <w:rsid w:val="00B73C84"/>
    <w:rsid w:val="00B75C91"/>
    <w:rsid w:val="00B75F10"/>
    <w:rsid w:val="00B975AD"/>
    <w:rsid w:val="00BC45FB"/>
    <w:rsid w:val="00BF148D"/>
    <w:rsid w:val="00BF67BD"/>
    <w:rsid w:val="00C23B1A"/>
    <w:rsid w:val="00C310EB"/>
    <w:rsid w:val="00C9176A"/>
    <w:rsid w:val="00CF1AA2"/>
    <w:rsid w:val="00D142D3"/>
    <w:rsid w:val="00D170F2"/>
    <w:rsid w:val="00D17774"/>
    <w:rsid w:val="00D63620"/>
    <w:rsid w:val="00D8410D"/>
    <w:rsid w:val="00D867D7"/>
    <w:rsid w:val="00DA7E95"/>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3503F"/>
    <w:rsid w:val="00F628D6"/>
    <w:rsid w:val="00F67051"/>
    <w:rsid w:val="00F8671A"/>
    <w:rsid w:val="00F86A1E"/>
    <w:rsid w:val="00FA5E88"/>
    <w:rsid w:val="00FF2D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380B58EC-CE3E-401A-BA90-2EE70464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0F2"/>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D170F2"/>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D170F2"/>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D170F2"/>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D170F2"/>
    <w:pPr>
      <w:numPr>
        <w:numId w:val="20"/>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D170F2"/>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D170F2"/>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D170F2"/>
    <w:rPr>
      <w:sz w:val="36"/>
      <w:szCs w:val="52"/>
    </w:rPr>
  </w:style>
  <w:style w:type="paragraph" w:customStyle="1" w:styleId="Cover3-Haknesset">
    <w:name w:val="Cover 3-Haknesset"/>
    <w:basedOn w:val="Cover1-Reshumot"/>
    <w:rsid w:val="00D170F2"/>
    <w:rPr>
      <w:b/>
      <w:bCs/>
      <w:spacing w:val="60"/>
    </w:rPr>
  </w:style>
  <w:style w:type="paragraph" w:customStyle="1" w:styleId="Cover4-Date">
    <w:name w:val="Cover 4-Date"/>
    <w:basedOn w:val="a"/>
    <w:rsid w:val="00D170F2"/>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D170F2"/>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D170F2"/>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D170F2"/>
    <w:pPr>
      <w:spacing w:before="120" w:after="120"/>
    </w:pPr>
    <w:rPr>
      <w:color w:val="FF0000"/>
      <w:w w:val="80"/>
    </w:rPr>
  </w:style>
  <w:style w:type="paragraph" w:styleId="a3">
    <w:name w:val="endnote text"/>
    <w:basedOn w:val="a"/>
    <w:semiHidden/>
    <w:rsid w:val="00D170F2"/>
    <w:pPr>
      <w:ind w:left="227" w:hanging="227"/>
    </w:pPr>
    <w:rPr>
      <w:sz w:val="14"/>
      <w:szCs w:val="22"/>
    </w:rPr>
  </w:style>
  <w:style w:type="paragraph" w:customStyle="1" w:styleId="TableText">
    <w:name w:val="Table Text"/>
    <w:basedOn w:val="a"/>
    <w:rsid w:val="00D170F2"/>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D170F2"/>
    <w:pPr>
      <w:outlineLvl w:val="2"/>
    </w:pPr>
  </w:style>
  <w:style w:type="paragraph" w:customStyle="1" w:styleId="TableBlock">
    <w:name w:val="Table Block"/>
    <w:basedOn w:val="TableText"/>
    <w:rsid w:val="00D170F2"/>
    <w:pPr>
      <w:jc w:val="both"/>
    </w:pPr>
  </w:style>
  <w:style w:type="paragraph" w:customStyle="1" w:styleId="TableHead">
    <w:name w:val="Table Head"/>
    <w:basedOn w:val="TableText"/>
    <w:rsid w:val="00D170F2"/>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D170F2"/>
    <w:pPr>
      <w:outlineLvl w:val="9"/>
    </w:pPr>
  </w:style>
  <w:style w:type="paragraph" w:customStyle="1" w:styleId="Hesber">
    <w:name w:val="Hesber"/>
    <w:basedOn w:val="a"/>
    <w:rsid w:val="00D170F2"/>
    <w:pPr>
      <w:snapToGrid w:val="0"/>
      <w:ind w:left="0" w:firstLine="340"/>
    </w:pPr>
    <w:rPr>
      <w:rFonts w:ascii="Arial" w:eastAsia="Arial Unicode MS" w:hAnsi="Arial"/>
      <w:snapToGrid w:val="0"/>
      <w:sz w:val="20"/>
      <w:szCs w:val="26"/>
    </w:rPr>
  </w:style>
  <w:style w:type="paragraph" w:styleId="a4">
    <w:name w:val="footnote text"/>
    <w:basedOn w:val="a"/>
    <w:autoRedefine/>
    <w:semiHidden/>
    <w:rsid w:val="00D170F2"/>
    <w:pPr>
      <w:snapToGrid w:val="0"/>
      <w:spacing w:line="240" w:lineRule="auto"/>
      <w:ind w:left="0"/>
      <w:jc w:val="left"/>
    </w:pPr>
    <w:rPr>
      <w:rFonts w:ascii="Arial" w:eastAsia="Arial Unicode MS" w:hAnsi="Arial"/>
      <w:snapToGrid w:val="0"/>
      <w:sz w:val="14"/>
      <w:szCs w:val="20"/>
    </w:rPr>
  </w:style>
  <w:style w:type="character" w:styleId="a5">
    <w:name w:val="footnote reference"/>
    <w:aliases w:val="Footnote Reference"/>
    <w:basedOn w:val="a0"/>
    <w:semiHidden/>
    <w:rsid w:val="00D170F2"/>
    <w:rPr>
      <w:vertAlign w:val="superscript"/>
    </w:rPr>
  </w:style>
  <w:style w:type="paragraph" w:customStyle="1" w:styleId="HesberHeading">
    <w:name w:val="Hesber Heading"/>
    <w:basedOn w:val="Hesber"/>
    <w:rsid w:val="00D170F2"/>
    <w:pPr>
      <w:tabs>
        <w:tab w:val="left" w:pos="624"/>
        <w:tab w:val="left" w:pos="1247"/>
      </w:tabs>
    </w:pPr>
    <w:rPr>
      <w:b/>
      <w:bCs/>
    </w:rPr>
  </w:style>
  <w:style w:type="paragraph" w:customStyle="1" w:styleId="HesberWriters">
    <w:name w:val="Hesber Writers"/>
    <w:basedOn w:val="Hesber"/>
    <w:rsid w:val="00D170F2"/>
    <w:pPr>
      <w:spacing w:before="120" w:after="120"/>
      <w:ind w:left="1418"/>
      <w:jc w:val="right"/>
    </w:pPr>
    <w:rPr>
      <w:b/>
      <w:bCs/>
    </w:rPr>
  </w:style>
  <w:style w:type="paragraph" w:customStyle="1" w:styleId="Hesber1st">
    <w:name w:val="Hesber 1st"/>
    <w:basedOn w:val="Hesber"/>
    <w:rsid w:val="00D170F2"/>
    <w:pPr>
      <w:tabs>
        <w:tab w:val="left" w:pos="680"/>
        <w:tab w:val="left" w:pos="1020"/>
      </w:tabs>
      <w:ind w:firstLine="0"/>
    </w:pPr>
  </w:style>
  <w:style w:type="character" w:styleId="a6">
    <w:name w:val="endnote reference"/>
    <w:basedOn w:val="a0"/>
    <w:semiHidden/>
    <w:rsid w:val="00D170F2"/>
    <w:rPr>
      <w:vertAlign w:val="superscript"/>
    </w:rPr>
  </w:style>
  <w:style w:type="paragraph" w:customStyle="1" w:styleId="TableBlockOutdent">
    <w:name w:val="Table BlockOutdent"/>
    <w:basedOn w:val="TableBlock"/>
    <w:rsid w:val="00D170F2"/>
    <w:pPr>
      <w:ind w:left="624" w:hanging="624"/>
    </w:pPr>
  </w:style>
  <w:style w:type="paragraph" w:styleId="a7">
    <w:name w:val="header"/>
    <w:basedOn w:val="a"/>
    <w:rsid w:val="00D170F2"/>
    <w:pPr>
      <w:tabs>
        <w:tab w:val="center" w:pos="4153"/>
        <w:tab w:val="right" w:pos="8306"/>
      </w:tabs>
    </w:pPr>
  </w:style>
  <w:style w:type="paragraph" w:styleId="a8">
    <w:name w:val="footer"/>
    <w:basedOn w:val="a"/>
    <w:rsid w:val="00D170F2"/>
    <w:pPr>
      <w:tabs>
        <w:tab w:val="center" w:pos="4153"/>
        <w:tab w:val="right" w:pos="8306"/>
      </w:tabs>
    </w:pPr>
  </w:style>
  <w:style w:type="paragraph" w:customStyle="1" w:styleId="HeadDivreiHesber">
    <w:name w:val="Head DivreiHesber"/>
    <w:basedOn w:val="a"/>
    <w:rsid w:val="00D170F2"/>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D170F2"/>
    <w:pPr>
      <w:snapToGrid w:val="0"/>
      <w:jc w:val="left"/>
    </w:pPr>
    <w:rPr>
      <w:rFonts w:ascii="Arial" w:eastAsia="Arial Unicode MS" w:hAnsi="Arial"/>
      <w:snapToGrid w:val="0"/>
      <w:sz w:val="20"/>
      <w:szCs w:val="26"/>
    </w:rPr>
  </w:style>
  <w:style w:type="paragraph" w:styleId="a9">
    <w:name w:val="Title"/>
    <w:basedOn w:val="a"/>
    <w:qFormat/>
    <w:rsid w:val="00943386"/>
    <w:pPr>
      <w:jc w:val="center"/>
    </w:pPr>
    <w:rPr>
      <w:b/>
      <w:bCs/>
      <w:sz w:val="28"/>
      <w:szCs w:val="28"/>
      <w:u w:val="single"/>
    </w:rPr>
  </w:style>
  <w:style w:type="character" w:styleId="aa">
    <w:name w:val="page number"/>
    <w:basedOn w:val="a0"/>
    <w:rsid w:val="00D170F2"/>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b">
    <w:name w:val="Balloon Text"/>
    <w:basedOn w:val="a"/>
    <w:link w:val="ac"/>
    <w:semiHidden/>
    <w:unhideWhenUsed/>
    <w:rsid w:val="00325C14"/>
    <w:pPr>
      <w:spacing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 w:type="paragraph" w:styleId="ad">
    <w:name w:val="List Paragraph"/>
    <w:basedOn w:val="a"/>
    <w:uiPriority w:val="34"/>
    <w:qFormat/>
    <w:rsid w:val="00D170F2"/>
    <w:pPr>
      <w:widowControl/>
      <w:spacing w:line="259" w:lineRule="auto"/>
    </w:pPr>
    <w:rPr>
      <w:rFonts w:asciiTheme="minorHAnsi" w:hAnsiTheme="minorHAnsi"/>
      <w:sz w:val="22"/>
    </w:rPr>
  </w:style>
  <w:style w:type="character" w:customStyle="1" w:styleId="10">
    <w:name w:val="כותרת 1 תו"/>
    <w:basedOn w:val="a0"/>
    <w:link w:val="1"/>
    <w:uiPriority w:val="9"/>
    <w:rsid w:val="00D170F2"/>
    <w:rPr>
      <w:rFonts w:asciiTheme="majorHAnsi" w:eastAsiaTheme="majorEastAsia" w:hAnsiTheme="majorHAnsi" w:cs="David"/>
      <w:bCs/>
      <w:sz w:val="32"/>
      <w:szCs w:val="36"/>
    </w:rPr>
  </w:style>
  <w:style w:type="character" w:customStyle="1" w:styleId="20">
    <w:name w:val="כותרת 2 תו"/>
    <w:basedOn w:val="a0"/>
    <w:link w:val="2"/>
    <w:rsid w:val="00D170F2"/>
    <w:rPr>
      <w:rFonts w:asciiTheme="majorHAnsi" w:eastAsiaTheme="majorEastAsia" w:hAnsiTheme="majorHAnsi" w:cs="David"/>
      <w:bCs/>
      <w:sz w:val="26"/>
      <w:szCs w:val="36"/>
      <w:u w:val="single"/>
    </w:rPr>
  </w:style>
  <w:style w:type="character" w:customStyle="1" w:styleId="30">
    <w:name w:val="כותרת 3 תו"/>
    <w:basedOn w:val="a0"/>
    <w:link w:val="3"/>
    <w:rsid w:val="00D170F2"/>
    <w:rPr>
      <w:rFonts w:asciiTheme="majorHAnsi" w:eastAsiaTheme="majorEastAsia" w:hAnsiTheme="majorHAnsi" w:cs="David"/>
      <w:sz w:val="24"/>
      <w:szCs w:val="28"/>
      <w:u w:val="double"/>
    </w:rPr>
  </w:style>
  <w:style w:type="character" w:customStyle="1" w:styleId="40">
    <w:name w:val="כותרת 4 תו"/>
    <w:basedOn w:val="a0"/>
    <w:link w:val="4"/>
    <w:uiPriority w:val="9"/>
    <w:rsid w:val="00D170F2"/>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D170F2"/>
    <w:rPr>
      <w:rFonts w:ascii="David" w:eastAsiaTheme="minorHAnsi" w:hAnsi="David" w:cs="David"/>
      <w:color w:val="000000" w:themeColor="text1"/>
      <w:sz w:val="24"/>
      <w:szCs w:val="24"/>
    </w:rPr>
  </w:style>
  <w:style w:type="paragraph" w:styleId="ae">
    <w:name w:val="TOC Heading"/>
    <w:basedOn w:val="1"/>
    <w:next w:val="a"/>
    <w:uiPriority w:val="39"/>
    <w:unhideWhenUsed/>
    <w:qFormat/>
    <w:rsid w:val="00D170F2"/>
    <w:pPr>
      <w:widowControl/>
      <w:spacing w:before="120" w:after="120"/>
      <w:outlineLvl w:val="9"/>
    </w:pPr>
    <w:rPr>
      <w:rtl/>
      <w:cs/>
    </w:rPr>
  </w:style>
  <w:style w:type="paragraph" w:styleId="TOC1">
    <w:name w:val="toc 1"/>
    <w:basedOn w:val="a"/>
    <w:next w:val="a"/>
    <w:autoRedefine/>
    <w:uiPriority w:val="39"/>
    <w:unhideWhenUsed/>
    <w:rsid w:val="00D170F2"/>
    <w:pPr>
      <w:tabs>
        <w:tab w:val="right" w:leader="dot" w:pos="9629"/>
      </w:tabs>
      <w:spacing w:after="100"/>
    </w:pPr>
    <w:rPr>
      <w:bCs/>
      <w:szCs w:val="22"/>
    </w:rPr>
  </w:style>
  <w:style w:type="paragraph" w:styleId="TOC2">
    <w:name w:val="toc 2"/>
    <w:basedOn w:val="a"/>
    <w:next w:val="a"/>
    <w:uiPriority w:val="39"/>
    <w:unhideWhenUsed/>
    <w:rsid w:val="00D170F2"/>
    <w:pPr>
      <w:tabs>
        <w:tab w:val="right" w:leader="dot" w:pos="9628"/>
      </w:tabs>
      <w:spacing w:after="100"/>
    </w:pPr>
    <w:rPr>
      <w:szCs w:val="22"/>
    </w:rPr>
  </w:style>
  <w:style w:type="character" w:styleId="Hyperlink">
    <w:name w:val="Hyperlink"/>
    <w:basedOn w:val="a0"/>
    <w:uiPriority w:val="99"/>
    <w:unhideWhenUsed/>
    <w:rsid w:val="00D170F2"/>
    <w:rPr>
      <w:color w:val="0000FF" w:themeColor="hyperlink"/>
      <w:u w:val="single"/>
    </w:rPr>
  </w:style>
  <w:style w:type="paragraph" w:styleId="TOC3">
    <w:name w:val="toc 3"/>
    <w:basedOn w:val="a"/>
    <w:next w:val="a"/>
    <w:uiPriority w:val="39"/>
    <w:unhideWhenUsed/>
    <w:rsid w:val="00D170F2"/>
    <w:pPr>
      <w:numPr>
        <w:numId w:val="23"/>
      </w:numPr>
      <w:tabs>
        <w:tab w:val="right" w:leader="dot" w:pos="9629"/>
      </w:tabs>
      <w:spacing w:after="100"/>
      <w:ind w:left="811" w:hanging="357"/>
    </w:pPr>
    <w:rPr>
      <w:szCs w:val="22"/>
    </w:rPr>
  </w:style>
  <w:style w:type="paragraph" w:styleId="TOC4">
    <w:name w:val="toc 4"/>
    <w:basedOn w:val="a"/>
    <w:next w:val="a"/>
    <w:autoRedefine/>
    <w:unhideWhenUsed/>
    <w:qFormat/>
    <w:rsid w:val="00D170F2"/>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D170F2"/>
    <w:pPr>
      <w:tabs>
        <w:tab w:val="right" w:leader="dot" w:pos="9628"/>
      </w:tabs>
      <w:spacing w:after="100"/>
      <w:ind w:left="567"/>
    </w:pPr>
    <w:rPr>
      <w:szCs w:val="22"/>
    </w:rPr>
  </w:style>
  <w:style w:type="paragraph" w:styleId="TOC6">
    <w:name w:val="toc 6"/>
    <w:basedOn w:val="a"/>
    <w:next w:val="a"/>
    <w:autoRedefine/>
    <w:semiHidden/>
    <w:unhideWhenUsed/>
    <w:rsid w:val="00D170F2"/>
    <w:pPr>
      <w:spacing w:after="100"/>
      <w:ind w:left="850"/>
    </w:pPr>
  </w:style>
  <w:style w:type="paragraph" w:styleId="TOC7">
    <w:name w:val="toc 7"/>
    <w:basedOn w:val="a"/>
    <w:next w:val="a"/>
    <w:autoRedefine/>
    <w:semiHidden/>
    <w:unhideWhenUsed/>
    <w:rsid w:val="00D170F2"/>
    <w:pPr>
      <w:spacing w:after="100"/>
      <w:ind w:left="1020"/>
    </w:pPr>
  </w:style>
  <w:style w:type="paragraph" w:styleId="TOC8">
    <w:name w:val="toc 8"/>
    <w:basedOn w:val="a"/>
    <w:next w:val="a"/>
    <w:autoRedefine/>
    <w:semiHidden/>
    <w:unhideWhenUsed/>
    <w:rsid w:val="00D170F2"/>
    <w:pPr>
      <w:spacing w:after="100"/>
      <w:ind w:left="1190"/>
    </w:pPr>
  </w:style>
  <w:style w:type="paragraph" w:styleId="TOC9">
    <w:name w:val="toc 9"/>
    <w:basedOn w:val="a"/>
    <w:next w:val="a"/>
    <w:autoRedefine/>
    <w:semiHidden/>
    <w:unhideWhenUsed/>
    <w:rsid w:val="00D170F2"/>
    <w:pPr>
      <w:spacing w:after="100"/>
      <w:ind w:left="1360"/>
    </w:pPr>
  </w:style>
  <w:style w:type="paragraph" w:customStyle="1" w:styleId="TableHead2">
    <w:name w:val="Table Head2"/>
    <w:basedOn w:val="TableHead"/>
    <w:qFormat/>
    <w:rsid w:val="00D170F2"/>
    <w:pPr>
      <w:outlineLvl w:val="9"/>
    </w:pPr>
  </w:style>
  <w:style w:type="paragraph" w:customStyle="1" w:styleId="TableSideHeading2">
    <w:name w:val="Table SideHeading2"/>
    <w:basedOn w:val="TableSideHeading"/>
    <w:autoRedefine/>
    <w:qFormat/>
    <w:rsid w:val="00D170F2"/>
    <w:pPr>
      <w:keepLines w:val="0"/>
      <w:outlineLvl w:val="9"/>
    </w:pPr>
  </w:style>
  <w:style w:type="paragraph" w:customStyle="1" w:styleId="0">
    <w:name w:val="סגנון שורה ראשונה:  0  ס''מ"/>
    <w:basedOn w:val="2"/>
    <w:rsid w:val="00D170F2"/>
    <w:rPr>
      <w:rFonts w:eastAsia="Times New Roman"/>
    </w:rPr>
  </w:style>
  <w:style w:type="table" w:styleId="af">
    <w:name w:val="Table Grid"/>
    <w:basedOn w:val="a1"/>
    <w:rsid w:val="00D17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D170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D170F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0">
    <w:name w:val="טבלת חקיקה"/>
    <w:basedOn w:val="a1"/>
    <w:uiPriority w:val="99"/>
    <w:rsid w:val="00D170F2"/>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D170F2"/>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54E21C28B32ECF49ADBB6A5BBBCCB3CD" ma:contentTypeVersion="" ma:contentTypeDescription="צור מסמך חדש." ma:contentTypeScope="" ma:versionID="f81d89568b860eeaa06327f0f2d2f14b">
  <xsd:schema xmlns:xsd="http://www.w3.org/2001/XMLSchema" xmlns:xs="http://www.w3.org/2001/XMLSchema" xmlns:p="http://schemas.microsoft.com/office/2006/metadata/properties" xmlns:ns2="290d5b49-c690-4c6f-bbb9-1e50dab33eee" targetNamespace="http://schemas.microsoft.com/office/2006/metadata/properties" ma:root="true" ma:fieldsID="a6db6e33f8462d87724f237088727803"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9F00D-BCAB-475B-A57E-0F7A350A3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4AFE3-9455-419C-8851-785A55F44517}">
  <ds:schemaRefs>
    <ds:schemaRef ds:uri="http://schemas.openxmlformats.org/package/2006/metadata/core-properties"/>
    <ds:schemaRef ds:uri="http://purl.org/dc/dcmitype/"/>
    <ds:schemaRef ds:uri="http://schemas.microsoft.com/office/infopath/2007/PartnerControls"/>
    <ds:schemaRef ds:uri="290d5b49-c690-4c6f-bbb9-1e50dab33eee"/>
    <ds:schemaRef ds:uri="http://purl.org/dc/terms/"/>
    <ds:schemaRef ds:uri="http://schemas.microsoft.com/office/2006/metadata/propertie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EE43314C-EAE5-4FFA-B65F-E718C195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421</Words>
  <Characters>2406</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13</cp:revision>
  <cp:lastPrinted>2024-07-08T06:07:00Z</cp:lastPrinted>
  <dcterms:created xsi:type="dcterms:W3CDTF">2015-04-20T09:58:00Z</dcterms:created>
  <dcterms:modified xsi:type="dcterms:W3CDTF">2024-07-08T06:07:00Z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0x01010054E21C28B32ECF49ADBB6A5BBBCCB3CD</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2211374</vt:r8>
  </property>
</Properties>
</file>