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E635A2">
      <w:pPr>
        <w:jc w:val="right"/>
        <w:rPr>
          <w:b/>
          <w:bCs/>
          <w:sz w:val="20"/>
          <w:szCs w:val="20"/>
        </w:rPr>
      </w:pPr>
      <w:r w:rsidRPr="00E635A2">
        <w:rPr>
          <w:rFonts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sz w:val="20"/>
          <w:szCs w:val="20"/>
          <w:rtl/>
        </w:rPr>
        <w:t>2216066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 וחמש</w:t>
      </w:r>
      <w:bookmarkEnd w:id="1"/>
    </w:p>
    <w:p w14:paraId="7F6961A3" w14:textId="77777777" w:rsidR="00E13C27" w:rsidRPr="00F67051" w:rsidRDefault="00E13C27" w:rsidP="00E13C27">
      <w:pPr>
        <w:rPr>
          <w:b/>
          <w:bCs/>
          <w:sz w:val="26"/>
          <w:szCs w:val="26"/>
          <w:rtl/>
        </w:rPr>
      </w:pPr>
    </w:p>
    <w:p w14:paraId="7F6961AA" w14:textId="29062FE7" w:rsidR="00E13C27" w:rsidRPr="00CF1AA2" w:rsidRDefault="008F6665" w:rsidP="003E1961">
      <w:pPr>
        <w:pStyle w:val="David"/>
        <w:ind w:left="3544"/>
        <w:rPr>
          <w:b/>
          <w:bCs/>
          <w:sz w:val="16"/>
          <w:szCs w:val="16"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אלי דלל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אברהם בצלאל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ולדימיר בליאק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חוה אתי עטייה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עודד פורר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עמית הלוי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רון כץ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משה סעדה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ניסים ואטורי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ישראל אייכלר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מירב בן ארי</w:t>
      </w:r>
      <w:bookmarkStart w:id="4" w:name="LGS_Join_List"/>
      <w:bookmarkEnd w:id="3"/>
      <w:r w:rsidR="007D585A"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 w:rsidR="007D585A"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6AB2D314" w:rsidR="00E13C27" w:rsidRPr="00E06736" w:rsidRDefault="00904591" w:rsidP="00904591">
      <w:pPr>
        <w:pStyle w:val="David"/>
        <w:spacing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 w:rsidR="00DE63E8">
        <w:rPr>
          <w:rtl/>
        </w:rPr>
        <w:tab/>
      </w:r>
      <w:bookmarkStart w:id="7" w:name="_GoBack"/>
      <w:bookmarkEnd w:id="7"/>
      <w:r>
        <w:rPr>
          <w:rFonts w:hint="cs"/>
          <w:rtl/>
        </w:rPr>
        <w:t>פ/4656/25</w:t>
      </w:r>
      <w:bookmarkEnd w:id="6"/>
    </w:p>
    <w:p w14:paraId="7F6961AC" w14:textId="77777777" w:rsidR="00E13C27" w:rsidRDefault="00E13C27" w:rsidP="00E13C27">
      <w:pPr>
        <w:ind w:left="2880" w:firstLine="720"/>
        <w:rPr>
          <w:sz w:val="26"/>
          <w:szCs w:val="26"/>
          <w:rtl/>
        </w:rPr>
      </w:pPr>
    </w:p>
    <w:p w14:paraId="7F6961AD" w14:textId="606C054F" w:rsidR="00E13C27" w:rsidRPr="00F67051" w:rsidRDefault="00A443CF" w:rsidP="0021633A">
      <w:pPr>
        <w:pStyle w:val="HeadHatzaotHok"/>
        <w:rPr>
          <w:rtl/>
        </w:rPr>
      </w:pPr>
      <w:bookmarkStart w:id="8" w:name="LGS_Subject"/>
      <w:r>
        <w:rPr>
          <w:rFonts w:hint="cs"/>
          <w:rtl/>
        </w:rPr>
        <w:t xml:space="preserve">הצעת חוק הרשות השנייה לטלוויזיה ורדיו (תיקון – הרחבת המגוון בשידורי הרדיו), </w:t>
      </w:r>
      <w:r w:rsidR="003E1961">
        <w:rPr>
          <w:rtl/>
        </w:rPr>
        <w:br/>
      </w:r>
      <w:r>
        <w:rPr>
          <w:rFonts w:hint="cs"/>
          <w:rtl/>
        </w:rPr>
        <w:t>התשפ"ד–2024</w:t>
      </w:r>
      <w:bookmarkEnd w:id="8"/>
    </w:p>
    <w:p w14:paraId="5D7F0B4E" w14:textId="1773138D" w:rsidR="00C355DE" w:rsidRDefault="00C355DE" w:rsidP="00C355DE">
      <w:pPr>
        <w:pStyle w:val="HeadHatzaotHok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3"/>
      </w:tblGrid>
      <w:tr w:rsidR="00C355DE" w14:paraId="0D67DB8C" w14:textId="77777777" w:rsidTr="003E1961">
        <w:trPr>
          <w:cantSplit/>
        </w:trPr>
        <w:tc>
          <w:tcPr>
            <w:tcW w:w="1871" w:type="dxa"/>
          </w:tcPr>
          <w:p w14:paraId="6DE19EAD" w14:textId="77777777" w:rsidR="00C355DE" w:rsidRPr="00007DD2" w:rsidRDefault="00C355DE" w:rsidP="00D62D77">
            <w:pPr>
              <w:pStyle w:val="TableSideHeading"/>
            </w:pPr>
            <w:r w:rsidRPr="00007DD2">
              <w:rPr>
                <w:rFonts w:hint="cs"/>
                <w:rtl/>
              </w:rPr>
              <w:t xml:space="preserve">תיקון </w:t>
            </w:r>
            <w:r w:rsidRPr="00007DD2">
              <w:rPr>
                <w:rFonts w:hint="eastAsia"/>
                <w:rtl/>
              </w:rPr>
              <w:t>סעיף</w:t>
            </w:r>
            <w:r w:rsidRPr="00007DD2">
              <w:rPr>
                <w:rtl/>
              </w:rPr>
              <w:t xml:space="preserve"> 7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624" w:type="dxa"/>
          </w:tcPr>
          <w:p w14:paraId="03914FE8" w14:textId="77777777" w:rsidR="00C355DE" w:rsidRPr="00007DD2" w:rsidRDefault="00C355DE" w:rsidP="00D62D77">
            <w:pPr>
              <w:pStyle w:val="TableText"/>
              <w:jc w:val="both"/>
            </w:pPr>
            <w:r w:rsidRPr="00007DD2">
              <w:rPr>
                <w:rtl/>
              </w:rPr>
              <w:t>1.</w:t>
            </w:r>
          </w:p>
        </w:tc>
        <w:tc>
          <w:tcPr>
            <w:tcW w:w="7143" w:type="dxa"/>
          </w:tcPr>
          <w:p w14:paraId="78B330E6" w14:textId="51D08238" w:rsidR="00C355DE" w:rsidRPr="00AD279F" w:rsidRDefault="00C355DE" w:rsidP="003E1961">
            <w:pPr>
              <w:pStyle w:val="TableBlock"/>
            </w:pPr>
            <w:r>
              <w:rPr>
                <w:rFonts w:hint="cs"/>
                <w:rtl/>
              </w:rPr>
              <w:t>ב</w:t>
            </w:r>
            <w:r w:rsidRPr="00AD279F">
              <w:rPr>
                <w:rFonts w:hint="eastAsia"/>
                <w:rtl/>
              </w:rPr>
              <w:t>חוק</w:t>
            </w:r>
            <w:r w:rsidRPr="00AD279F">
              <w:rPr>
                <w:rtl/>
              </w:rPr>
              <w:t xml:space="preserve"> </w:t>
            </w:r>
            <w:r w:rsidRPr="00AD279F">
              <w:rPr>
                <w:rFonts w:hint="eastAsia"/>
                <w:rtl/>
              </w:rPr>
              <w:t>הרשות</w:t>
            </w:r>
            <w:r w:rsidRPr="00AD279F">
              <w:rPr>
                <w:rtl/>
              </w:rPr>
              <w:t xml:space="preserve"> </w:t>
            </w:r>
            <w:r w:rsidRPr="00AD279F">
              <w:rPr>
                <w:rFonts w:hint="eastAsia"/>
                <w:rtl/>
              </w:rPr>
              <w:t>השני</w:t>
            </w:r>
            <w:r>
              <w:rPr>
                <w:rFonts w:hint="cs"/>
                <w:rtl/>
              </w:rPr>
              <w:t>י</w:t>
            </w:r>
            <w:r w:rsidRPr="00AD279F">
              <w:rPr>
                <w:rFonts w:hint="eastAsia"/>
                <w:rtl/>
              </w:rPr>
              <w:t>ה</w:t>
            </w:r>
            <w:r w:rsidRPr="00AD279F">
              <w:rPr>
                <w:rtl/>
              </w:rPr>
              <w:t xml:space="preserve"> </w:t>
            </w:r>
            <w:r w:rsidRPr="00AD279F">
              <w:rPr>
                <w:rFonts w:hint="eastAsia"/>
                <w:rtl/>
              </w:rPr>
              <w:t>לטל</w:t>
            </w:r>
            <w:r>
              <w:rPr>
                <w:rFonts w:hint="cs"/>
                <w:rtl/>
              </w:rPr>
              <w:t>ו</w:t>
            </w:r>
            <w:r w:rsidRPr="00AD279F">
              <w:rPr>
                <w:rFonts w:hint="eastAsia"/>
                <w:rtl/>
              </w:rPr>
              <w:t>ויזיה</w:t>
            </w:r>
            <w:r w:rsidRPr="00AD279F">
              <w:rPr>
                <w:rtl/>
              </w:rPr>
              <w:t xml:space="preserve"> </w:t>
            </w:r>
            <w:r w:rsidRPr="00AD279F">
              <w:rPr>
                <w:rFonts w:hint="eastAsia"/>
                <w:rtl/>
              </w:rPr>
              <w:t>ורדיו</w:t>
            </w:r>
            <w:r w:rsidRPr="00AD279F">
              <w:rPr>
                <w:rtl/>
              </w:rPr>
              <w:t xml:space="preserve">, </w:t>
            </w:r>
            <w:r w:rsidRPr="00AD279F">
              <w:rPr>
                <w:rFonts w:hint="eastAsia"/>
                <w:rtl/>
              </w:rPr>
              <w:t>התש</w:t>
            </w:r>
            <w:r w:rsidRPr="00AD279F">
              <w:rPr>
                <w:rtl/>
              </w:rPr>
              <w:t>"ן</w:t>
            </w:r>
            <w:r>
              <w:rPr>
                <w:rFonts w:hint="cs"/>
                <w:rtl/>
              </w:rPr>
              <w:t>–</w:t>
            </w:r>
            <w:r w:rsidRPr="00AD279F">
              <w:rPr>
                <w:rtl/>
              </w:rPr>
              <w:t>1990</w:t>
            </w:r>
            <w:r w:rsidRPr="003E1961">
              <w:rPr>
                <w:rStyle w:val="a5"/>
                <w:rFonts w:ascii="David" w:hAnsi="David"/>
                <w:sz w:val="26"/>
                <w:rtl/>
              </w:rPr>
              <w:footnoteReference w:id="2"/>
            </w:r>
            <w:r w:rsidRPr="00AD279F"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 xml:space="preserve">בסעיף 72, </w:t>
            </w:r>
            <w:r w:rsidRPr="00AD279F">
              <w:rPr>
                <w:rFonts w:hint="eastAsia"/>
                <w:rtl/>
              </w:rPr>
              <w:t>אחרי</w:t>
            </w:r>
            <w:r w:rsidRPr="00AD279F">
              <w:rPr>
                <w:rtl/>
              </w:rPr>
              <w:t xml:space="preserve"> </w:t>
            </w:r>
            <w:r w:rsidRPr="00AD279F">
              <w:rPr>
                <w:rFonts w:hint="eastAsia"/>
                <w:rtl/>
              </w:rPr>
              <w:t>סעיף</w:t>
            </w:r>
            <w:r>
              <w:rPr>
                <w:rFonts w:hint="cs"/>
                <w:rtl/>
              </w:rPr>
              <w:t xml:space="preserve"> קטן </w:t>
            </w:r>
            <w:r w:rsidRPr="00AD279F">
              <w:rPr>
                <w:rtl/>
              </w:rPr>
              <w:t>(</w:t>
            </w:r>
            <w:r>
              <w:rPr>
                <w:rFonts w:hint="cs"/>
                <w:rtl/>
              </w:rPr>
              <w:t>ו</w:t>
            </w:r>
            <w:r w:rsidR="003E1961">
              <w:rPr>
                <w:rtl/>
              </w:rPr>
              <w:t>)</w:t>
            </w:r>
            <w:r w:rsidRPr="00AD279F">
              <w:rPr>
                <w:rtl/>
              </w:rPr>
              <w:t xml:space="preserve"> יבוא: </w:t>
            </w:r>
          </w:p>
        </w:tc>
      </w:tr>
      <w:tr w:rsidR="00C355DE" w14:paraId="313E70F0" w14:textId="77777777" w:rsidTr="003E1961">
        <w:trPr>
          <w:cantSplit/>
        </w:trPr>
        <w:tc>
          <w:tcPr>
            <w:tcW w:w="1871" w:type="dxa"/>
          </w:tcPr>
          <w:p w14:paraId="645E443A" w14:textId="77777777" w:rsidR="00C355DE" w:rsidRPr="00007DD2" w:rsidRDefault="00C355DE" w:rsidP="00D62D77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0F6C5205" w14:textId="77777777" w:rsidR="00C355DE" w:rsidRPr="00007DD2" w:rsidRDefault="00C355DE" w:rsidP="00D62D77">
            <w:pPr>
              <w:pStyle w:val="TableText"/>
              <w:jc w:val="both"/>
              <w:rPr>
                <w:rtl/>
              </w:rPr>
            </w:pPr>
          </w:p>
        </w:tc>
        <w:tc>
          <w:tcPr>
            <w:tcW w:w="7143" w:type="dxa"/>
          </w:tcPr>
          <w:p w14:paraId="49934157" w14:textId="77777777" w:rsidR="00C355DE" w:rsidRPr="00AD279F" w:rsidRDefault="00C355DE" w:rsidP="003E196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AD279F">
              <w:rPr>
                <w:rtl/>
              </w:rPr>
              <w:t>(</w:t>
            </w:r>
            <w:r>
              <w:rPr>
                <w:rFonts w:hint="cs"/>
                <w:rtl/>
              </w:rPr>
              <w:t>ז</w:t>
            </w:r>
            <w:r w:rsidRPr="00AD279F">
              <w:rPr>
                <w:rtl/>
              </w:rPr>
              <w:t>)</w:t>
            </w:r>
            <w:r>
              <w:rPr>
                <w:rtl/>
              </w:rPr>
              <w:tab/>
            </w:r>
            <w:r w:rsidRPr="00AD279F">
              <w:rPr>
                <w:rFonts w:hint="eastAsia"/>
                <w:rtl/>
              </w:rPr>
              <w:t>על</w:t>
            </w:r>
            <w:r>
              <w:rPr>
                <w:rtl/>
              </w:rPr>
              <w:t xml:space="preserve"> אף האמור </w:t>
            </w:r>
            <w:r>
              <w:rPr>
                <w:rFonts w:hint="cs"/>
                <w:rtl/>
              </w:rPr>
              <w:t>בסעיף זה, בעל זיכיון לשידורי רדיו, רשאי, באישור השר, להקים תחנות שידור מחוץ לתחום האזור שנקבע לשידוריו בזיכיון ולשדר מחוץ לתחום כאמור, כך ששידוריו יועברו גם באזורים אחרים בארץ."</w:t>
            </w:r>
          </w:p>
        </w:tc>
      </w:tr>
    </w:tbl>
    <w:p w14:paraId="437F61DB" w14:textId="77777777" w:rsidR="00C355DE" w:rsidRDefault="00C355DE" w:rsidP="00C355DE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2BFFF3DB" w14:textId="77777777" w:rsidR="00C355DE" w:rsidRPr="003E1961" w:rsidRDefault="00C355DE" w:rsidP="003E1961">
      <w:pPr>
        <w:pStyle w:val="Hesber"/>
        <w:rPr>
          <w:rtl/>
        </w:rPr>
      </w:pPr>
      <w:r w:rsidRPr="003E1961">
        <w:rPr>
          <w:rFonts w:hint="eastAsia"/>
          <w:rtl/>
        </w:rPr>
        <w:t>כיום</w:t>
      </w:r>
      <w:r w:rsidRPr="003E1961">
        <w:rPr>
          <w:rtl/>
        </w:rPr>
        <w:t xml:space="preserve"> בישראל ישנן </w:t>
      </w:r>
      <w:r w:rsidRPr="003E1961">
        <w:rPr>
          <w:rFonts w:hint="eastAsia"/>
          <w:rtl/>
        </w:rPr>
        <w:t>תחנות</w:t>
      </w:r>
      <w:r w:rsidRPr="003E1961">
        <w:rPr>
          <w:rtl/>
        </w:rPr>
        <w:t xml:space="preserve"> </w:t>
      </w:r>
      <w:r w:rsidRPr="003E1961">
        <w:rPr>
          <w:rFonts w:hint="cs"/>
          <w:rtl/>
        </w:rPr>
        <w:t>בשידור ארצי</w:t>
      </w:r>
      <w:r w:rsidRPr="003E1961">
        <w:rPr>
          <w:rtl/>
        </w:rPr>
        <w:t xml:space="preserve"> רק </w:t>
      </w:r>
      <w:r w:rsidRPr="003E1961">
        <w:rPr>
          <w:rFonts w:hint="cs"/>
          <w:rtl/>
        </w:rPr>
        <w:t>בבעלות ציבורית</w:t>
      </w:r>
      <w:r w:rsidRPr="003E1961">
        <w:rPr>
          <w:rtl/>
        </w:rPr>
        <w:t xml:space="preserve"> כמו תחנות התאגיד "כאן" ותחנות גלי צה"ל.</w:t>
      </w:r>
      <w:r w:rsidRPr="003E1961">
        <w:rPr>
          <w:rFonts w:hint="cs"/>
          <w:rtl/>
        </w:rPr>
        <w:t xml:space="preserve"> בהתאם לכך, תחנות בבעלות פרטית הן תחנות בשידור אזורי בלבד.</w:t>
      </w:r>
    </w:p>
    <w:p w14:paraId="153AE464" w14:textId="77777777" w:rsidR="00C355DE" w:rsidRPr="003E1961" w:rsidRDefault="00C355DE" w:rsidP="003E1961">
      <w:pPr>
        <w:pStyle w:val="Hesber"/>
        <w:rPr>
          <w:rtl/>
        </w:rPr>
      </w:pPr>
      <w:r w:rsidRPr="003E1961">
        <w:rPr>
          <w:rFonts w:hint="cs"/>
          <w:rtl/>
        </w:rPr>
        <w:t>הצעת חוק זו מבקשת</w:t>
      </w:r>
      <w:r w:rsidRPr="003E1961">
        <w:rPr>
          <w:rtl/>
        </w:rPr>
        <w:t xml:space="preserve"> לאפשר את קיומן של תחנות </w:t>
      </w:r>
      <w:r w:rsidRPr="003E1961">
        <w:rPr>
          <w:rFonts w:hint="cs"/>
          <w:rtl/>
        </w:rPr>
        <w:t>בשידור ארצי גם בבעלות פרטית ומסחרית</w:t>
      </w:r>
      <w:r w:rsidRPr="003E1961">
        <w:rPr>
          <w:rtl/>
        </w:rPr>
        <w:t>.</w:t>
      </w:r>
    </w:p>
    <w:p w14:paraId="0F587CEA" w14:textId="77777777" w:rsidR="00C355DE" w:rsidRPr="003E1961" w:rsidRDefault="00C355DE" w:rsidP="003E1961">
      <w:pPr>
        <w:pStyle w:val="Hesber"/>
        <w:rPr>
          <w:rtl/>
        </w:rPr>
      </w:pPr>
      <w:r w:rsidRPr="003E1961">
        <w:rPr>
          <w:rFonts w:hint="cs"/>
          <w:rtl/>
        </w:rPr>
        <w:t xml:space="preserve">מוצע לקבוע כי שר התקשורת יהיה רשאי לאשר לבעל זיכיון לשידורי רדיו להקים תחנות שידור </w:t>
      </w:r>
      <w:r w:rsidRPr="003E1961">
        <w:rPr>
          <w:rFonts w:hint="cs"/>
          <w:rtl/>
        </w:rPr>
        <w:lastRenderedPageBreak/>
        <w:t>מחוץ לתחום האזור שנקבע לשידוריו בזיכיון ולשדר מחוץ לתחום כאמור, כך ששידוריו יועברו גם באזורים אחרים בארץ.</w:t>
      </w:r>
    </w:p>
    <w:p w14:paraId="50BCD368" w14:textId="77777777" w:rsidR="00C355DE" w:rsidRPr="003E1961" w:rsidRDefault="00C355DE" w:rsidP="003E1961">
      <w:pPr>
        <w:pStyle w:val="Hesber"/>
        <w:rPr>
          <w:rtl/>
        </w:rPr>
      </w:pPr>
      <w:r w:rsidRPr="003E1961">
        <w:rPr>
          <w:rFonts w:hint="eastAsia"/>
          <w:rtl/>
        </w:rPr>
        <w:t>מטרת</w:t>
      </w:r>
      <w:r w:rsidRPr="003E1961">
        <w:rPr>
          <w:rtl/>
        </w:rPr>
        <w:t xml:space="preserve"> </w:t>
      </w:r>
      <w:r w:rsidRPr="003E1961">
        <w:rPr>
          <w:rFonts w:hint="cs"/>
          <w:rtl/>
        </w:rPr>
        <w:t>החוק המוצע היא</w:t>
      </w:r>
      <w:r w:rsidRPr="003E1961">
        <w:rPr>
          <w:rtl/>
        </w:rPr>
        <w:t xml:space="preserve"> להבי</w:t>
      </w:r>
      <w:r w:rsidRPr="003E1961">
        <w:rPr>
          <w:rFonts w:hint="cs"/>
          <w:rtl/>
        </w:rPr>
        <w:t>א</w:t>
      </w:r>
      <w:r w:rsidRPr="003E1961">
        <w:rPr>
          <w:rtl/>
        </w:rPr>
        <w:t xml:space="preserve"> לגיוון רב יותר </w:t>
      </w:r>
      <w:r w:rsidRPr="003E1961">
        <w:rPr>
          <w:rFonts w:hint="cs"/>
          <w:rtl/>
        </w:rPr>
        <w:t>בשידורי הרדיו בישראל</w:t>
      </w:r>
      <w:r w:rsidRPr="003E1961">
        <w:rPr>
          <w:rtl/>
        </w:rPr>
        <w:t xml:space="preserve"> ולאפשר</w:t>
      </w:r>
      <w:r w:rsidRPr="003E1961">
        <w:rPr>
          <w:rFonts w:hint="cs"/>
          <w:rtl/>
        </w:rPr>
        <w:t>,</w:t>
      </w:r>
      <w:r w:rsidRPr="003E1961">
        <w:rPr>
          <w:rtl/>
        </w:rPr>
        <w:t xml:space="preserve"> בין ה</w:t>
      </w:r>
      <w:r w:rsidRPr="003E1961">
        <w:rPr>
          <w:rFonts w:hint="cs"/>
          <w:rtl/>
        </w:rPr>
        <w:t>שאר,</w:t>
      </w:r>
      <w:r w:rsidRPr="003E1961">
        <w:rPr>
          <w:rtl/>
        </w:rPr>
        <w:t xml:space="preserve"> לתחנות רדיו </w:t>
      </w:r>
      <w:r w:rsidRPr="003E1961">
        <w:rPr>
          <w:rFonts w:hint="cs"/>
          <w:rtl/>
        </w:rPr>
        <w:t>בשפות זרות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כמו</w:t>
      </w:r>
      <w:r w:rsidRPr="003E1961">
        <w:rPr>
          <w:rtl/>
        </w:rPr>
        <w:t xml:space="preserve"> תחנות הרדיו </w:t>
      </w:r>
      <w:r w:rsidRPr="003E1961">
        <w:rPr>
          <w:rFonts w:hint="cs"/>
          <w:rtl/>
        </w:rPr>
        <w:t>בשפה הערבית,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ו</w:t>
      </w:r>
      <w:r w:rsidRPr="003E1961">
        <w:rPr>
          <w:rFonts w:hint="cs"/>
          <w:rtl/>
        </w:rPr>
        <w:t>ל</w:t>
      </w:r>
      <w:r w:rsidRPr="003E1961">
        <w:rPr>
          <w:rFonts w:hint="eastAsia"/>
          <w:rtl/>
        </w:rPr>
        <w:t>תחנות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רדיו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מגזריות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כמו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תחנות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הרדיו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החרדיות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להגיע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לקהל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היעד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שלהן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ב</w:t>
      </w:r>
      <w:r w:rsidRPr="003E1961">
        <w:rPr>
          <w:rFonts w:hint="cs"/>
          <w:rtl/>
        </w:rPr>
        <w:t>שטחי ה</w:t>
      </w:r>
      <w:r w:rsidRPr="003E1961">
        <w:rPr>
          <w:rFonts w:hint="eastAsia"/>
          <w:rtl/>
        </w:rPr>
        <w:t>ארץ</w:t>
      </w:r>
      <w:r w:rsidRPr="003E1961">
        <w:rPr>
          <w:rtl/>
        </w:rPr>
        <w:t xml:space="preserve"> </w:t>
      </w:r>
      <w:r w:rsidRPr="003E1961">
        <w:rPr>
          <w:rFonts w:hint="eastAsia"/>
          <w:rtl/>
        </w:rPr>
        <w:t>כולה</w:t>
      </w:r>
      <w:r w:rsidRPr="003E1961">
        <w:rPr>
          <w:rFonts w:hint="cs"/>
          <w:rtl/>
        </w:rPr>
        <w:t>.</w:t>
      </w:r>
    </w:p>
    <w:p w14:paraId="7F6961CB" w14:textId="25DD15AE" w:rsidR="00E13C27" w:rsidRPr="003E1961" w:rsidRDefault="00E13C27" w:rsidP="003E1961">
      <w:pPr>
        <w:pStyle w:val="Hesber"/>
        <w:rPr>
          <w:rtl/>
        </w:rPr>
      </w:pPr>
    </w:p>
    <w:p w14:paraId="5197A735" w14:textId="77777777" w:rsidR="006D41F3" w:rsidRDefault="003E1961">
      <w:pPr>
        <w:jc w:val="left"/>
      </w:pPr>
      <w:bookmarkStart w:id="9" w:name="selectedDocDateB"/>
      <w:bookmarkEnd w:id="9"/>
      <w:r>
        <w:rPr>
          <w:rFonts w:eastAsia="David" w:hint="cs"/>
          <w:sz w:val="26"/>
          <w:szCs w:val="26"/>
          <w:rtl/>
        </w:rPr>
        <w:t>--------------------------------</w:t>
      </w:r>
    </w:p>
    <w:p w14:paraId="41F67FD5" w14:textId="77777777" w:rsidR="006D41F3" w:rsidRDefault="003E1961">
      <w:pPr>
        <w:jc w:val="left"/>
      </w:pPr>
      <w:r>
        <w:rPr>
          <w:rFonts w:eastAsia="David" w:hint="cs"/>
          <w:sz w:val="26"/>
          <w:szCs w:val="26"/>
          <w:rtl/>
        </w:rPr>
        <w:t>הוגשה ליו"ר הכנסת והסגנים</w:t>
      </w:r>
    </w:p>
    <w:p w14:paraId="2892F794" w14:textId="77777777" w:rsidR="006D41F3" w:rsidRDefault="003E1961">
      <w:pPr>
        <w:jc w:val="left"/>
      </w:pPr>
      <w:r>
        <w:rPr>
          <w:rFonts w:eastAsia="David" w:hint="cs"/>
          <w:sz w:val="26"/>
          <w:szCs w:val="26"/>
          <w:rtl/>
        </w:rPr>
        <w:t>והונחה על שולחן הכנסת ביום</w:t>
      </w:r>
    </w:p>
    <w:p w14:paraId="2930C381" w14:textId="77777777" w:rsidR="006D41F3" w:rsidRDefault="003E1961">
      <w:pPr>
        <w:jc w:val="left"/>
      </w:pPr>
      <w:r>
        <w:rPr>
          <w:rFonts w:eastAsia="David" w:hint="cs"/>
          <w:sz w:val="26"/>
          <w:szCs w:val="26"/>
          <w:rtl/>
        </w:rPr>
        <w:t xml:space="preserve">י"א בסיוון התשפ"ד (17.06.2024) </w:t>
      </w:r>
    </w:p>
    <w:p w14:paraId="53E6A012" w14:textId="77777777" w:rsidR="006D41F3" w:rsidRDefault="006D41F3">
      <w:pPr>
        <w:spacing w:line="276" w:lineRule="auto"/>
        <w:jc w:val="left"/>
      </w:pPr>
    </w:p>
    <w:sectPr w:rsidR="006D41F3" w:rsidSect="003E1961">
      <w:footerReference w:type="even" r:id="rId11"/>
      <w:footerReference w:type="default" r:id="rId12"/>
      <w:pgSz w:w="11907" w:h="16840" w:code="9"/>
      <w:pgMar w:top="1701" w:right="1134" w:bottom="1417" w:left="1134" w:header="680" w:footer="680" w:gutter="0"/>
      <w:cols w:space="720"/>
      <w:noEndnote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DE63E8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 w:rsidP="003E1961">
      <w:pPr>
        <w:ind w:left="0"/>
      </w:pPr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653DEBF8" w14:textId="77777777" w:rsidR="00C355DE" w:rsidRDefault="00C355DE" w:rsidP="00C355DE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התש"ן, עמ' 59.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3E1961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6D41F3"/>
    <w:rsid w:val="0070601E"/>
    <w:rsid w:val="00712C72"/>
    <w:rsid w:val="00735FE9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355DE"/>
    <w:rsid w:val="00C9176A"/>
    <w:rsid w:val="00CF1AA2"/>
    <w:rsid w:val="00D142D3"/>
    <w:rsid w:val="00D17774"/>
    <w:rsid w:val="00D63620"/>
    <w:rsid w:val="00D8410D"/>
    <w:rsid w:val="00D867D7"/>
    <w:rsid w:val="00DB7060"/>
    <w:rsid w:val="00DE3153"/>
    <w:rsid w:val="00DE63E8"/>
    <w:rsid w:val="00E06736"/>
    <w:rsid w:val="00E07FA0"/>
    <w:rsid w:val="00E13C27"/>
    <w:rsid w:val="00E33BBD"/>
    <w:rsid w:val="00E374F2"/>
    <w:rsid w:val="00E45103"/>
    <w:rsid w:val="00E55A60"/>
    <w:rsid w:val="00E62778"/>
    <w:rsid w:val="00E635A2"/>
    <w:rsid w:val="00E63D38"/>
    <w:rsid w:val="00E64DF7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66EC3602-3191-45DD-960C-202BB5C6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61"/>
    <w:pPr>
      <w:widowControl w:val="0"/>
      <w:bidi/>
      <w:spacing w:line="360" w:lineRule="auto"/>
      <w:ind w:left="340"/>
      <w:contextualSpacing/>
      <w:jc w:val="both"/>
    </w:pPr>
    <w:rPr>
      <w:rFonts w:ascii="David" w:eastAsiaTheme="minorHAnsi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1961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3E1961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3E1961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3E1961"/>
    <w:pPr>
      <w:numPr>
        <w:numId w:val="18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E1961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3E1961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3E1961"/>
    <w:rPr>
      <w:sz w:val="36"/>
      <w:szCs w:val="52"/>
    </w:rPr>
  </w:style>
  <w:style w:type="paragraph" w:customStyle="1" w:styleId="Cover3-Haknesset">
    <w:name w:val="Cover 3-Haknesset"/>
    <w:basedOn w:val="Cover1-Reshumot"/>
    <w:rsid w:val="003E1961"/>
    <w:rPr>
      <w:b/>
      <w:bCs/>
      <w:spacing w:val="60"/>
    </w:rPr>
  </w:style>
  <w:style w:type="paragraph" w:customStyle="1" w:styleId="Cover4-Date">
    <w:name w:val="Cover 4-Date"/>
    <w:basedOn w:val="a"/>
    <w:rsid w:val="003E1961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3E1961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3E1961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4Futer">
    <w:name w:val="Head HatzaotHok4Futer"/>
    <w:basedOn w:val="HeadHatzaotHok"/>
    <w:rsid w:val="003E1961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3E1961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3E1961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3E1961"/>
    <w:pPr>
      <w:outlineLvl w:val="2"/>
    </w:pPr>
  </w:style>
  <w:style w:type="paragraph" w:customStyle="1" w:styleId="TableBlock">
    <w:name w:val="Table Block"/>
    <w:basedOn w:val="TableText"/>
    <w:rsid w:val="003E1961"/>
    <w:pPr>
      <w:jc w:val="both"/>
    </w:pPr>
  </w:style>
  <w:style w:type="paragraph" w:customStyle="1" w:styleId="TableHead">
    <w:name w:val="Table Head"/>
    <w:basedOn w:val="TableText"/>
    <w:rsid w:val="003E1961"/>
    <w:pPr>
      <w:jc w:val="center"/>
      <w:outlineLvl w:val="1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3E1961"/>
    <w:pPr>
      <w:outlineLvl w:val="9"/>
    </w:pPr>
  </w:style>
  <w:style w:type="paragraph" w:customStyle="1" w:styleId="Hesber">
    <w:name w:val="Hesber"/>
    <w:basedOn w:val="a"/>
    <w:rsid w:val="003E1961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4">
    <w:name w:val="footnote text"/>
    <w:basedOn w:val="a"/>
    <w:autoRedefine/>
    <w:semiHidden/>
    <w:rsid w:val="003E1961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3E1961"/>
    <w:rPr>
      <w:vertAlign w:val="superscript"/>
    </w:rPr>
  </w:style>
  <w:style w:type="paragraph" w:customStyle="1" w:styleId="HesberHeading">
    <w:name w:val="Hesber Heading"/>
    <w:basedOn w:val="Hesber"/>
    <w:rsid w:val="003E1961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3E1961"/>
    <w:pPr>
      <w:spacing w:before="120" w:after="12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3E1961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3E1961"/>
    <w:rPr>
      <w:vertAlign w:val="superscript"/>
    </w:rPr>
  </w:style>
  <w:style w:type="paragraph" w:customStyle="1" w:styleId="TableBlockOutdent">
    <w:name w:val="Table BlockOutdent"/>
    <w:basedOn w:val="TableBlock"/>
    <w:rsid w:val="003E1961"/>
    <w:pPr>
      <w:ind w:left="624" w:hanging="624"/>
    </w:pPr>
  </w:style>
  <w:style w:type="paragraph" w:styleId="a7">
    <w:name w:val="header"/>
    <w:basedOn w:val="a"/>
    <w:rsid w:val="003E196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3E1961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3E1961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3E1961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b/>
      <w:bCs/>
      <w:sz w:val="28"/>
      <w:szCs w:val="28"/>
      <w:u w:val="single"/>
    </w:rPr>
  </w:style>
  <w:style w:type="character" w:styleId="aa">
    <w:name w:val="page number"/>
    <w:basedOn w:val="a0"/>
    <w:rsid w:val="003E1961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jc w:val="left"/>
    </w:pPr>
    <w:rPr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10">
    <w:name w:val="כותרת 1 תו"/>
    <w:basedOn w:val="a0"/>
    <w:link w:val="1"/>
    <w:uiPriority w:val="9"/>
    <w:rsid w:val="003E1961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3E1961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3E1961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3E1961"/>
    <w:rPr>
      <w:rFonts w:ascii="David" w:eastAsiaTheme="minorHAnsi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3E1961"/>
    <w:rPr>
      <w:rFonts w:ascii="David" w:eastAsiaTheme="minorHAnsi" w:hAnsi="David" w:cs="David"/>
      <w:color w:val="000000" w:themeColor="text1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3E1961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3E1961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3E1961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3E1961"/>
    <w:rPr>
      <w:color w:val="0000FF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3E1961"/>
    <w:pPr>
      <w:numPr>
        <w:numId w:val="21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3E1961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3E1961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3E1961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3E1961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3E1961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3E1961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3E1961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3E1961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3E1961"/>
    <w:rPr>
      <w:rFonts w:eastAsia="Times New Roman"/>
    </w:rPr>
  </w:style>
  <w:style w:type="paragraph" w:styleId="ae">
    <w:name w:val="List Paragraph"/>
    <w:basedOn w:val="a"/>
    <w:uiPriority w:val="34"/>
    <w:qFormat/>
    <w:rsid w:val="003E1961"/>
    <w:pPr>
      <w:widowControl/>
      <w:spacing w:line="259" w:lineRule="auto"/>
    </w:pPr>
    <w:rPr>
      <w:rFonts w:asciiTheme="minorHAnsi" w:hAnsiTheme="minorHAnsi"/>
      <w:sz w:val="22"/>
    </w:rPr>
  </w:style>
  <w:style w:type="table" w:styleId="af">
    <w:name w:val="Table Grid"/>
    <w:basedOn w:val="a1"/>
    <w:rsid w:val="003E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3E19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E19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0">
    <w:name w:val="טבלת חקיקה"/>
    <w:basedOn w:val="a1"/>
    <w:uiPriority w:val="99"/>
    <w:rsid w:val="003E1961"/>
    <w:pPr>
      <w:jc w:val="center"/>
    </w:pPr>
    <w:rPr>
      <w:rFonts w:cstheme="minorBidi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3E1961"/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4E21C28B32ECF49ADBB6A5BBBCCB3CD" ma:contentTypeVersion="" ma:contentTypeDescription="צור מסמך חדש." ma:contentTypeScope="" ma:versionID="f81d89568b860eeaa06327f0f2d2f14b">
  <xsd:schema xmlns:xsd="http://www.w3.org/2001/XMLSchema" xmlns:xs="http://www.w3.org/2001/XMLSchema" xmlns:p="http://schemas.microsoft.com/office/2006/metadata/properties" xmlns:ns2="290d5b49-c690-4c6f-bbb9-1e50dab33eee" targetNamespace="http://schemas.microsoft.com/office/2006/metadata/properties" ma:root="true" ma:fieldsID="a6db6e33f8462d87724f237088727803" ns2:_="">
    <xsd:import namespace="290d5b49-c690-4c6f-bbb9-1e50dab33ee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5b49-c690-4c6f-bbb9-1e50dab33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809C9-843E-4733-A1F6-E2F2A1466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d5b49-c690-4c6f-bbb9-1e50dab33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purl.org/dc/terms/"/>
    <ds:schemaRef ds:uri="http://purl.org/dc/dcmitype/"/>
    <ds:schemaRef ds:uri="http://schemas.microsoft.com/office/2006/documentManagement/types"/>
    <ds:schemaRef ds:uri="290d5b49-c690-4c6f-bbb9-1e50dab33ee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47BD0D-2014-4F90-BEF4-D1620CFF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8</cp:revision>
  <cp:lastPrinted>2024-06-17T05:29:00Z</cp:lastPrinted>
  <dcterms:created xsi:type="dcterms:W3CDTF">2015-04-20T09:58:00Z</dcterms:created>
  <dcterms:modified xsi:type="dcterms:W3CDTF">2024-06-17T05:29:00Z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0x01010054E21C28B32ECF49ADBB6A5BBBCCB3CD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2216066</vt:r8>
  </property>
</Properties>
</file>