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DCC9" w14:textId="77777777" w:rsidR="00E51F8A" w:rsidRPr="00E51F8A" w:rsidRDefault="00E51F8A" w:rsidP="00E51F8A">
      <w:pPr>
        <w:autoSpaceDE w:val="0"/>
        <w:autoSpaceDN w:val="0"/>
        <w:adjustRightInd w:val="0"/>
        <w:spacing w:before="102"/>
        <w:ind w:left="0" w:firstLine="340"/>
        <w:contextualSpacing w:val="0"/>
        <w:jc w:val="center"/>
        <w:textAlignment w:val="center"/>
        <w:rPr>
          <w:rFonts w:ascii="Hadasa Roso SL" w:eastAsia="MS Mincho" w:hAnsi="Hadasa Roso SL"/>
          <w:b/>
          <w:bCs/>
          <w:color w:val="000000"/>
          <w:spacing w:val="1"/>
          <w:sz w:val="28"/>
          <w:szCs w:val="28"/>
          <w:u w:val="single"/>
          <w:rtl/>
          <w:lang w:eastAsia="ja-JP"/>
        </w:rPr>
      </w:pPr>
      <w:r w:rsidRPr="00E51F8A">
        <w:rPr>
          <w:rFonts w:ascii="Hadasa Roso SL" w:eastAsia="MS Mincho" w:hAnsi="Hadasa Roso SL" w:hint="cs"/>
          <w:b/>
          <w:bCs/>
          <w:color w:val="000000"/>
          <w:spacing w:val="1"/>
          <w:sz w:val="28"/>
          <w:szCs w:val="28"/>
          <w:u w:val="single"/>
          <w:rtl/>
          <w:lang w:eastAsia="ja-JP"/>
        </w:rPr>
        <w:t>תזכיר חוק</w:t>
      </w:r>
    </w:p>
    <w:p w14:paraId="3DD5DDAA" w14:textId="77777777" w:rsidR="00E51F8A" w:rsidRPr="00E51F8A" w:rsidRDefault="00E51F8A" w:rsidP="00E51F8A">
      <w:pPr>
        <w:numPr>
          <w:ilvl w:val="0"/>
          <w:numId w:val="32"/>
        </w:numPr>
        <w:tabs>
          <w:tab w:val="num" w:pos="386"/>
        </w:tabs>
        <w:autoSpaceDE w:val="0"/>
        <w:autoSpaceDN w:val="0"/>
        <w:adjustRightInd w:val="0"/>
        <w:spacing w:before="102" w:line="204" w:lineRule="atLeast"/>
        <w:ind w:left="386"/>
        <w:contextualSpacing w:val="0"/>
        <w:textAlignment w:val="center"/>
        <w:rPr>
          <w:rFonts w:ascii="Hadasa Roso SL" w:eastAsia="MS Mincho" w:hAnsi="Hadasa Roso SL"/>
          <w:b/>
          <w:bCs/>
          <w:color w:val="000000"/>
          <w:spacing w:val="1"/>
          <w:u w:val="single"/>
          <w:lang w:eastAsia="ja-JP"/>
        </w:rPr>
      </w:pPr>
      <w:r w:rsidRPr="00E51F8A">
        <w:rPr>
          <w:rFonts w:ascii="Hadasa Roso SL" w:eastAsia="MS Mincho" w:hAnsi="Hadasa Roso SL" w:hint="cs"/>
          <w:b/>
          <w:bCs/>
          <w:color w:val="000000"/>
          <w:spacing w:val="1"/>
          <w:u w:val="single"/>
          <w:rtl/>
          <w:lang w:eastAsia="ja-JP"/>
        </w:rPr>
        <w:t xml:space="preserve">שם החוק המוצע </w:t>
      </w:r>
    </w:p>
    <w:p w14:paraId="50A5AA02" w14:textId="77777777" w:rsidR="00E51F8A" w:rsidRPr="00E51F8A" w:rsidRDefault="00E51F8A" w:rsidP="00E51F8A">
      <w:pPr>
        <w:autoSpaceDE w:val="0"/>
        <w:autoSpaceDN w:val="0"/>
        <w:adjustRightInd w:val="0"/>
        <w:spacing w:before="102"/>
        <w:ind w:left="26" w:firstLine="340"/>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hint="cs"/>
          <w:color w:val="000000"/>
          <w:spacing w:val="1"/>
          <w:rtl/>
          <w:lang w:eastAsia="ja-JP"/>
        </w:rPr>
        <w:t>תזכיר חוק שירות הביטחון הכללי (תיקון מס'...), התשפ"ד-2023</w:t>
      </w:r>
    </w:p>
    <w:p w14:paraId="7E77F41A" w14:textId="77777777" w:rsidR="00E51F8A" w:rsidRPr="00E51F8A" w:rsidRDefault="00E51F8A" w:rsidP="00E51F8A">
      <w:pPr>
        <w:numPr>
          <w:ilvl w:val="0"/>
          <w:numId w:val="32"/>
        </w:numPr>
        <w:tabs>
          <w:tab w:val="num" w:pos="386"/>
        </w:tabs>
        <w:autoSpaceDE w:val="0"/>
        <w:autoSpaceDN w:val="0"/>
        <w:adjustRightInd w:val="0"/>
        <w:spacing w:before="102" w:line="204" w:lineRule="atLeast"/>
        <w:ind w:left="386"/>
        <w:contextualSpacing w:val="0"/>
        <w:textAlignment w:val="center"/>
        <w:rPr>
          <w:rFonts w:ascii="Hadasa Roso SL" w:eastAsia="MS Mincho" w:hAnsi="Hadasa Roso SL"/>
          <w:b/>
          <w:bCs/>
          <w:color w:val="000000"/>
          <w:spacing w:val="1"/>
          <w:u w:val="single"/>
          <w:lang w:eastAsia="ja-JP"/>
        </w:rPr>
      </w:pPr>
      <w:r w:rsidRPr="00E51F8A">
        <w:rPr>
          <w:rFonts w:ascii="Hadasa Roso SL" w:eastAsia="MS Mincho" w:hAnsi="Hadasa Roso SL" w:hint="cs"/>
          <w:b/>
          <w:bCs/>
          <w:color w:val="000000"/>
          <w:spacing w:val="1"/>
          <w:u w:val="single"/>
          <w:rtl/>
          <w:lang w:eastAsia="ja-JP"/>
        </w:rPr>
        <w:t>מטרת החוק המוצע והצורך בו</w:t>
      </w:r>
    </w:p>
    <w:p w14:paraId="5ADC806E"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hint="cs"/>
          <w:color w:val="000000"/>
          <w:spacing w:val="1"/>
          <w:rtl/>
          <w:lang w:eastAsia="ja-JP"/>
        </w:rPr>
        <w:t xml:space="preserve">מטרת התיקון המוצע לחוק שירות הביטחון הכללי, התשס"ב-2002 (להלן </w:t>
      </w:r>
      <w:r w:rsidRPr="00E51F8A">
        <w:rPr>
          <w:rFonts w:ascii="Hadasa Roso SL" w:eastAsia="MS Mincho" w:hAnsi="Hadasa Roso SL"/>
          <w:color w:val="000000"/>
          <w:spacing w:val="1"/>
          <w:rtl/>
          <w:lang w:eastAsia="ja-JP"/>
        </w:rPr>
        <w:t>–</w:t>
      </w:r>
      <w:r w:rsidRPr="00E51F8A">
        <w:rPr>
          <w:rFonts w:ascii="Hadasa Roso SL" w:eastAsia="MS Mincho" w:hAnsi="Hadasa Roso SL" w:hint="cs"/>
          <w:color w:val="000000"/>
          <w:spacing w:val="1"/>
          <w:rtl/>
          <w:lang w:eastAsia="ja-JP"/>
        </w:rPr>
        <w:t xml:space="preserve"> חוק השב"כ או החוק) היא להבהיר הסדרים שונים בחוק, בדגש על אלו מעולמות המחשב והסייבר, ולהתאימם למציאות הנוכחית, </w:t>
      </w:r>
      <w:r w:rsidRPr="00E51F8A">
        <w:rPr>
          <w:rFonts w:ascii="Hadasa Roso SL" w:eastAsia="MS Mincho" w:hAnsi="Hadasa Roso SL"/>
          <w:color w:val="000000"/>
          <w:spacing w:val="1"/>
          <w:rtl/>
          <w:lang w:eastAsia="ja-JP"/>
        </w:rPr>
        <w:t xml:space="preserve">תוך גידור הסמכויות </w:t>
      </w:r>
      <w:r w:rsidRPr="00E51F8A">
        <w:rPr>
          <w:rFonts w:ascii="Hadasa Roso SL" w:eastAsia="MS Mincho" w:hAnsi="Hadasa Roso SL" w:hint="cs"/>
          <w:color w:val="000000"/>
          <w:spacing w:val="1"/>
          <w:rtl/>
          <w:lang w:eastAsia="ja-JP"/>
        </w:rPr>
        <w:t xml:space="preserve">הנתונות לשירות הביטחון הכללי (להלן </w:t>
      </w:r>
      <w:r w:rsidRPr="00E51F8A">
        <w:rPr>
          <w:rFonts w:ascii="Hadasa Roso SL" w:eastAsia="MS Mincho" w:hAnsi="Hadasa Roso SL"/>
          <w:color w:val="000000"/>
          <w:spacing w:val="1"/>
          <w:rtl/>
          <w:lang w:eastAsia="ja-JP"/>
        </w:rPr>
        <w:t>–</w:t>
      </w:r>
      <w:r w:rsidRPr="00E51F8A">
        <w:rPr>
          <w:rFonts w:ascii="Hadasa Roso SL" w:eastAsia="MS Mincho" w:hAnsi="Hadasa Roso SL" w:hint="cs"/>
          <w:color w:val="000000"/>
          <w:spacing w:val="1"/>
          <w:rtl/>
          <w:lang w:eastAsia="ja-JP"/>
        </w:rPr>
        <w:t xml:space="preserve"> השירות) </w:t>
      </w:r>
      <w:r w:rsidRPr="00E51F8A">
        <w:rPr>
          <w:rFonts w:ascii="Hadasa Roso SL" w:eastAsia="MS Mincho" w:hAnsi="Hadasa Roso SL"/>
          <w:color w:val="000000"/>
          <w:spacing w:val="1"/>
          <w:rtl/>
          <w:lang w:eastAsia="ja-JP"/>
        </w:rPr>
        <w:t xml:space="preserve">וקביעת מנגנוני דיווח, פיקוח ובקרה אפקטיביים. </w:t>
      </w:r>
      <w:r w:rsidRPr="00E51F8A">
        <w:rPr>
          <w:rFonts w:ascii="Hadasa Roso SL" w:eastAsia="MS Mincho" w:hAnsi="Hadasa Roso SL" w:hint="cs"/>
          <w:color w:val="000000"/>
          <w:spacing w:val="1"/>
          <w:rtl/>
          <w:lang w:eastAsia="ja-JP"/>
        </w:rPr>
        <w:t xml:space="preserve">זאת, בחלוף למעלה משני עשורים ממועד חקיקת החוק, ובהתחשב בשינויים המשמעותיים שחלו באיומים עמם מתמודד השירות, בפרט בשים לב למציאות הטכנולוגית המתפתחת. </w:t>
      </w:r>
    </w:p>
    <w:p w14:paraId="5837E6E2" w14:textId="77777777" w:rsidR="00E51F8A" w:rsidRPr="00E51F8A" w:rsidRDefault="00E51F8A" w:rsidP="00E51F8A">
      <w:pPr>
        <w:numPr>
          <w:ilvl w:val="0"/>
          <w:numId w:val="32"/>
        </w:numPr>
        <w:tabs>
          <w:tab w:val="num" w:pos="386"/>
        </w:tabs>
        <w:autoSpaceDE w:val="0"/>
        <w:autoSpaceDN w:val="0"/>
        <w:adjustRightInd w:val="0"/>
        <w:spacing w:before="102" w:line="204" w:lineRule="atLeast"/>
        <w:ind w:left="386"/>
        <w:contextualSpacing w:val="0"/>
        <w:textAlignment w:val="center"/>
        <w:rPr>
          <w:rFonts w:ascii="Hadasa Roso SL" w:eastAsia="MS Mincho" w:hAnsi="Hadasa Roso SL"/>
          <w:b/>
          <w:bCs/>
          <w:color w:val="000000"/>
          <w:spacing w:val="1"/>
          <w:u w:val="single"/>
          <w:lang w:eastAsia="ja-JP"/>
        </w:rPr>
      </w:pPr>
      <w:r w:rsidRPr="00E51F8A">
        <w:rPr>
          <w:rFonts w:ascii="Hadasa Roso SL" w:eastAsia="MS Mincho" w:hAnsi="Hadasa Roso SL" w:hint="cs"/>
          <w:b/>
          <w:bCs/>
          <w:color w:val="000000"/>
          <w:spacing w:val="1"/>
          <w:u w:val="single"/>
          <w:rtl/>
          <w:lang w:eastAsia="ja-JP"/>
        </w:rPr>
        <w:t>עיקרי החוק המוצע</w:t>
      </w:r>
    </w:p>
    <w:p w14:paraId="73A14DA8" w14:textId="77777777" w:rsidR="00E51F8A" w:rsidRPr="00E51F8A" w:rsidRDefault="00E51F8A" w:rsidP="00E51F8A">
      <w:pPr>
        <w:autoSpaceDE w:val="0"/>
        <w:autoSpaceDN w:val="0"/>
        <w:adjustRightInd w:val="0"/>
        <w:spacing w:before="102"/>
        <w:ind w:left="1106" w:hanging="720"/>
        <w:contextualSpacing w:val="0"/>
        <w:textAlignment w:val="center"/>
        <w:rPr>
          <w:rFonts w:ascii="Hadasa Roso SL" w:eastAsia="MS Mincho" w:hAnsi="Hadasa Roso SL"/>
          <w:b/>
          <w:bCs/>
          <w:color w:val="000000"/>
          <w:spacing w:val="1"/>
          <w:rtl/>
          <w:lang w:eastAsia="ja-JP"/>
        </w:rPr>
      </w:pPr>
      <w:r w:rsidRPr="00E51F8A">
        <w:rPr>
          <w:rFonts w:ascii="Hadasa Roso SL" w:eastAsia="MS Mincho" w:hAnsi="Hadasa Roso SL" w:hint="cs"/>
          <w:b/>
          <w:bCs/>
          <w:color w:val="000000"/>
          <w:spacing w:val="1"/>
          <w:rtl/>
          <w:lang w:eastAsia="ja-JP"/>
        </w:rPr>
        <w:t>עיקר 1</w:t>
      </w:r>
      <w:r w:rsidRPr="00E51F8A">
        <w:rPr>
          <w:rFonts w:ascii="Hadasa Roso SL" w:eastAsia="MS Mincho" w:hAnsi="Hadasa Roso SL" w:hint="cs"/>
          <w:color w:val="000000"/>
          <w:spacing w:val="1"/>
          <w:rtl/>
          <w:lang w:eastAsia="ja-JP"/>
        </w:rPr>
        <w:t xml:space="preserve">: </w:t>
      </w:r>
      <w:r w:rsidRPr="00E51F8A">
        <w:rPr>
          <w:rFonts w:ascii="Hadasa Roso SL" w:eastAsia="MS Mincho" w:hAnsi="Hadasa Roso SL" w:hint="cs"/>
          <w:b/>
          <w:bCs/>
          <w:color w:val="000000"/>
          <w:spacing w:val="1"/>
          <w:rtl/>
          <w:lang w:eastAsia="ja-JP"/>
        </w:rPr>
        <w:t>התאמת סמכויות השירות בחקיקה ביחס לקבלת מידע, איסוף מידע והעברת מידע</w:t>
      </w:r>
    </w:p>
    <w:p w14:paraId="0E2D12E8"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color w:val="000000"/>
          <w:spacing w:val="1"/>
          <w:rtl/>
          <w:lang w:eastAsia="ja-JP"/>
        </w:rPr>
        <w:t>הצעת חוק זו מבקשת להבהיר ולהתאים באופן מפורש בחקיקה את סמכויות השירות ביחס לקבלת מידע</w:t>
      </w:r>
      <w:r w:rsidRPr="00E51F8A">
        <w:rPr>
          <w:rFonts w:ascii="Hadasa Roso SL" w:eastAsia="MS Mincho" w:hAnsi="Hadasa Roso SL" w:hint="cs"/>
          <w:color w:val="000000"/>
          <w:spacing w:val="1"/>
          <w:rtl/>
          <w:lang w:eastAsia="ja-JP"/>
        </w:rPr>
        <w:t xml:space="preserve">, </w:t>
      </w:r>
      <w:r w:rsidRPr="00E51F8A">
        <w:rPr>
          <w:rFonts w:ascii="Hadasa Roso SL" w:eastAsia="MS Mincho" w:hAnsi="Hadasa Roso SL"/>
          <w:color w:val="000000"/>
          <w:spacing w:val="1"/>
          <w:rtl/>
          <w:lang w:eastAsia="ja-JP"/>
        </w:rPr>
        <w:t xml:space="preserve">איסוף מידע והעברת מידע, כך שהן יחולו גם ביחס למאגרי מידע, במגבלות ובתנאים הקבועים בהצעה (הוספת סעיף 8א ו-8ב לחוק </w:t>
      </w:r>
      <w:r w:rsidRPr="00E51F8A">
        <w:rPr>
          <w:rFonts w:ascii="Hadasa Roso SL" w:eastAsia="MS Mincho" w:hAnsi="Hadasa Roso SL" w:hint="cs"/>
          <w:color w:val="000000"/>
          <w:spacing w:val="1"/>
          <w:rtl/>
          <w:lang w:eastAsia="ja-JP"/>
        </w:rPr>
        <w:t>ה</w:t>
      </w:r>
      <w:r w:rsidRPr="00E51F8A">
        <w:rPr>
          <w:rFonts w:ascii="Hadasa Roso SL" w:eastAsia="MS Mincho" w:hAnsi="Hadasa Roso SL"/>
          <w:color w:val="000000"/>
          <w:spacing w:val="1"/>
          <w:rtl/>
          <w:lang w:eastAsia="ja-JP"/>
        </w:rPr>
        <w:t xml:space="preserve">שב"כ). כך, מבוקש ליתן מענה למציאות הטכנולוגית והחברתית הנוכחית והמתפתחת, שבה מידע הנחוץ לשירות לצורך מילוי תפקידיו ושהיה מצוי בעבר בעיקר בידי גופים ציבוריים, ובכלל זאת בידי חברות התקשורת </w:t>
      </w:r>
      <w:r w:rsidRPr="00E51F8A">
        <w:rPr>
          <w:rFonts w:ascii="Hadasa Roso SL" w:eastAsia="MS Mincho" w:hAnsi="Hadasa Roso SL" w:hint="cs"/>
          <w:color w:val="000000"/>
          <w:spacing w:val="1"/>
          <w:rtl/>
          <w:lang w:eastAsia="ja-JP"/>
        </w:rPr>
        <w:t>שהן ספק מורשה כהגדרתו בחוק התקשורת (בזק ושידורים), תשמ"ב-1982,</w:t>
      </w:r>
      <w:r w:rsidRPr="00E51F8A">
        <w:rPr>
          <w:rFonts w:ascii="Hadasa Roso SL" w:eastAsia="MS Mincho" w:hAnsi="Hadasa Roso SL"/>
          <w:color w:val="000000"/>
          <w:spacing w:val="1"/>
          <w:rtl/>
          <w:lang w:eastAsia="ja-JP"/>
        </w:rPr>
        <w:t xml:space="preserve"> </w:t>
      </w:r>
      <w:r w:rsidRPr="00E51F8A">
        <w:rPr>
          <w:rFonts w:ascii="Hadasa Roso SL" w:eastAsia="MS Mincho" w:hAnsi="Hadasa Roso SL" w:hint="cs"/>
          <w:color w:val="000000"/>
          <w:spacing w:val="1"/>
          <w:rtl/>
          <w:lang w:eastAsia="ja-JP"/>
        </w:rPr>
        <w:t>א</w:t>
      </w:r>
      <w:r w:rsidRPr="00E51F8A">
        <w:rPr>
          <w:rFonts w:ascii="Hadasa Roso SL" w:eastAsia="MS Mincho" w:hAnsi="Hadasa Roso SL"/>
          <w:color w:val="000000"/>
          <w:spacing w:val="1"/>
          <w:rtl/>
          <w:lang w:eastAsia="ja-JP"/>
        </w:rPr>
        <w:t>ש</w:t>
      </w:r>
      <w:r w:rsidRPr="00E51F8A">
        <w:rPr>
          <w:rFonts w:ascii="Hadasa Roso SL" w:eastAsia="MS Mincho" w:hAnsi="Hadasa Roso SL" w:hint="cs"/>
          <w:color w:val="000000"/>
          <w:spacing w:val="1"/>
          <w:rtl/>
          <w:lang w:eastAsia="ja-JP"/>
        </w:rPr>
        <w:t xml:space="preserve">ר </w:t>
      </w:r>
      <w:r w:rsidRPr="00E51F8A">
        <w:rPr>
          <w:rFonts w:ascii="Hadasa Roso SL" w:eastAsia="MS Mincho" w:hAnsi="Hadasa Roso SL"/>
          <w:color w:val="000000"/>
          <w:spacing w:val="1"/>
          <w:rtl/>
          <w:lang w:eastAsia="ja-JP"/>
        </w:rPr>
        <w:t>ביחס למידע המצוי ברשותן השירות מחזיק בסמכויות לפי סעיף 11 לחוק, מצוי כיום בחלקו גם בידי חברות פרטיות, ובחלקו אינו נגיש לשירות באופן ובהיקף שהיה בעבר. עוד מוצע, כי הפעלת הסמכויות האמורות, הן לעניין קבלה ואיסוף של מאגרי מידע והן לעניין העברה של מאגרי מידע, תוכפף למנגנוני אישור, פיקוח ובקרה הדוקים, הקבועים בהצעת החוק.</w:t>
      </w:r>
    </w:p>
    <w:p w14:paraId="723AFEE8" w14:textId="77777777" w:rsidR="00E51F8A" w:rsidRPr="00E51F8A" w:rsidRDefault="00E51F8A" w:rsidP="00E51F8A">
      <w:pPr>
        <w:autoSpaceDE w:val="0"/>
        <w:autoSpaceDN w:val="0"/>
        <w:adjustRightInd w:val="0"/>
        <w:spacing w:before="102"/>
        <w:ind w:left="1106" w:hanging="720"/>
        <w:contextualSpacing w:val="0"/>
        <w:textAlignment w:val="center"/>
        <w:rPr>
          <w:rFonts w:ascii="Hadasa Roso SL" w:eastAsia="MS Mincho" w:hAnsi="Hadasa Roso SL"/>
          <w:b/>
          <w:bCs/>
          <w:color w:val="000000"/>
          <w:spacing w:val="1"/>
          <w:rtl/>
          <w:lang w:eastAsia="ja-JP"/>
        </w:rPr>
      </w:pPr>
      <w:r w:rsidRPr="00E51F8A">
        <w:rPr>
          <w:rFonts w:ascii="Hadasa Roso SL" w:eastAsia="MS Mincho" w:hAnsi="Hadasa Roso SL" w:hint="cs"/>
          <w:b/>
          <w:bCs/>
          <w:color w:val="000000"/>
          <w:spacing w:val="1"/>
          <w:rtl/>
          <w:lang w:eastAsia="ja-JP"/>
        </w:rPr>
        <w:t>עיקר 2:</w:t>
      </w:r>
      <w:r w:rsidRPr="00E51F8A">
        <w:rPr>
          <w:rFonts w:ascii="Hadasa Roso SL" w:eastAsia="MS Mincho" w:hAnsi="Hadasa Roso SL" w:hint="cs"/>
          <w:color w:val="000000"/>
          <w:spacing w:val="1"/>
          <w:rtl/>
          <w:lang w:eastAsia="ja-JP"/>
        </w:rPr>
        <w:t xml:space="preserve"> </w:t>
      </w:r>
      <w:r w:rsidRPr="00E51F8A">
        <w:rPr>
          <w:rFonts w:ascii="Hadasa Roso SL" w:eastAsia="MS Mincho" w:hAnsi="Hadasa Roso SL" w:hint="cs"/>
          <w:b/>
          <w:bCs/>
          <w:color w:val="000000"/>
          <w:spacing w:val="1"/>
          <w:rtl/>
          <w:lang w:eastAsia="ja-JP"/>
        </w:rPr>
        <w:t>עדכון סמכויות השירות לדרוש מידע לפי סעיף 11 לחוק שב"כ</w:t>
      </w:r>
    </w:p>
    <w:p w14:paraId="5C520610"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color w:val="000000"/>
          <w:spacing w:val="1"/>
          <w:rtl/>
          <w:lang w:eastAsia="ja-JP"/>
        </w:rPr>
        <w:t>הצעת חוק זו מבקשת להתאים ולעדכן את סמכות השירות ל</w:t>
      </w:r>
      <w:r w:rsidRPr="00E51F8A">
        <w:rPr>
          <w:rFonts w:ascii="Hadasa Roso SL" w:eastAsia="MS Mincho" w:hAnsi="Hadasa Roso SL" w:hint="cs"/>
          <w:color w:val="000000"/>
          <w:spacing w:val="1"/>
          <w:rtl/>
          <w:lang w:eastAsia="ja-JP"/>
        </w:rPr>
        <w:t xml:space="preserve">דרוש </w:t>
      </w:r>
      <w:r w:rsidRPr="00E51F8A">
        <w:rPr>
          <w:rFonts w:ascii="Hadasa Roso SL" w:eastAsia="MS Mincho" w:hAnsi="Hadasa Roso SL"/>
          <w:color w:val="000000"/>
          <w:spacing w:val="1"/>
          <w:rtl/>
          <w:lang w:eastAsia="ja-JP"/>
        </w:rPr>
        <w:t>מידע לפי סעיף 11 לחוק השב"כ. מאז חקיקת חוק השב"כ חלו שינויים משמעותיים גם בעולם התקשורת, במיוחד בכל הקשור לפעילות ב</w:t>
      </w:r>
      <w:r w:rsidRPr="00E51F8A">
        <w:rPr>
          <w:rFonts w:ascii="Hadasa Roso SL" w:eastAsia="MS Mincho" w:hAnsi="Hadasa Roso SL" w:hint="cs"/>
          <w:color w:val="000000"/>
          <w:spacing w:val="1"/>
          <w:rtl/>
          <w:lang w:eastAsia="ja-JP"/>
        </w:rPr>
        <w:t>מרשתת</w:t>
      </w:r>
      <w:r w:rsidRPr="00E51F8A">
        <w:rPr>
          <w:rFonts w:ascii="Hadasa Roso SL" w:eastAsia="MS Mincho" w:hAnsi="Hadasa Roso SL"/>
          <w:color w:val="000000"/>
          <w:spacing w:val="1"/>
          <w:rtl/>
          <w:lang w:eastAsia="ja-JP"/>
        </w:rPr>
        <w:t xml:space="preserve">. על אף שינויים אלה, סמכות השירות לקבלת מידע </w:t>
      </w:r>
      <w:r w:rsidRPr="00E51F8A">
        <w:rPr>
          <w:rFonts w:ascii="Hadasa Roso SL" w:eastAsia="MS Mincho" w:hAnsi="Hadasa Roso SL" w:hint="cs"/>
          <w:color w:val="000000"/>
          <w:spacing w:val="1"/>
          <w:rtl/>
          <w:lang w:eastAsia="ja-JP"/>
        </w:rPr>
        <w:t>מספק מורשה</w:t>
      </w:r>
      <w:r w:rsidRPr="00E51F8A">
        <w:rPr>
          <w:rFonts w:ascii="Hadasa Roso SL" w:eastAsia="MS Mincho" w:hAnsi="Hadasa Roso SL"/>
          <w:color w:val="000000"/>
          <w:spacing w:val="1"/>
          <w:rtl/>
          <w:lang w:eastAsia="ja-JP"/>
        </w:rPr>
        <w:t xml:space="preserve"> ולעשות בו שימוש לצורך מילוי תפקידיו, בהתאם להוראות סעיף 11 לחוק השב"כ, לא עודכנה. תיקון זה נועד לעדכן גם סמכויות אלה על-מנת להתאימן</w:t>
      </w:r>
      <w:r w:rsidRPr="00E51F8A">
        <w:rPr>
          <w:rFonts w:ascii="Hadasa Roso SL" w:eastAsia="MS Mincho" w:hAnsi="Hadasa Roso SL" w:hint="cs"/>
          <w:color w:val="000000"/>
          <w:spacing w:val="1"/>
          <w:rtl/>
          <w:lang w:eastAsia="ja-JP"/>
        </w:rPr>
        <w:t xml:space="preserve"> ולהסדירן בראי ההתפתחויות בעולם התקשורת</w:t>
      </w:r>
      <w:r w:rsidRPr="00E51F8A">
        <w:rPr>
          <w:rFonts w:ascii="Hadasa Roso SL" w:eastAsia="MS Mincho" w:hAnsi="Hadasa Roso SL"/>
          <w:color w:val="000000"/>
          <w:spacing w:val="1"/>
          <w:rtl/>
          <w:lang w:eastAsia="ja-JP"/>
        </w:rPr>
        <w:t xml:space="preserve"> לצד קביעת מגבלות על תכליות השימוש במידע שיתקבל על-ידי השירות ואופן השימוש בו, לאור הפגיעה </w:t>
      </w:r>
      <w:r w:rsidRPr="00E51F8A">
        <w:rPr>
          <w:rFonts w:ascii="Hadasa Roso SL" w:eastAsia="MS Mincho" w:hAnsi="Hadasa Roso SL" w:hint="cs"/>
          <w:color w:val="000000"/>
          <w:spacing w:val="1"/>
          <w:rtl/>
          <w:lang w:eastAsia="ja-JP"/>
        </w:rPr>
        <w:t xml:space="preserve">האפשרית </w:t>
      </w:r>
      <w:r w:rsidRPr="00E51F8A">
        <w:rPr>
          <w:rFonts w:ascii="Hadasa Roso SL" w:eastAsia="MS Mincho" w:hAnsi="Hadasa Roso SL"/>
          <w:color w:val="000000"/>
          <w:spacing w:val="1"/>
          <w:rtl/>
          <w:lang w:eastAsia="ja-JP"/>
        </w:rPr>
        <w:t xml:space="preserve">בזכות לפרטיות הכרוכה בכך. כמו כן, התיקון נועד להגביר את הפיקוח והבקרה על השירות בכל הקשור לקבלת מידע מחברות התקשורת </w:t>
      </w:r>
      <w:r w:rsidRPr="00E51F8A">
        <w:rPr>
          <w:rFonts w:ascii="Hadasa Roso SL" w:eastAsia="MS Mincho" w:hAnsi="Hadasa Roso SL" w:hint="cs"/>
          <w:color w:val="000000"/>
          <w:spacing w:val="1"/>
          <w:rtl/>
          <w:lang w:eastAsia="ja-JP"/>
        </w:rPr>
        <w:t xml:space="preserve">האמורות </w:t>
      </w:r>
      <w:r w:rsidRPr="00E51F8A">
        <w:rPr>
          <w:rFonts w:ascii="Hadasa Roso SL" w:eastAsia="MS Mincho" w:hAnsi="Hadasa Roso SL"/>
          <w:color w:val="000000"/>
          <w:spacing w:val="1"/>
          <w:rtl/>
          <w:lang w:eastAsia="ja-JP"/>
        </w:rPr>
        <w:t>מכוח סעיף 11 כאמור ולשימוש בו על-ידי השירות לצורך מילוי תפקידיו לפי החוק.</w:t>
      </w:r>
    </w:p>
    <w:p w14:paraId="51BF7059" w14:textId="77777777" w:rsidR="00E51F8A" w:rsidRPr="00E51F8A" w:rsidRDefault="00E51F8A" w:rsidP="00E51F8A">
      <w:pPr>
        <w:autoSpaceDE w:val="0"/>
        <w:autoSpaceDN w:val="0"/>
        <w:adjustRightInd w:val="0"/>
        <w:spacing w:before="102"/>
        <w:ind w:left="1106" w:hanging="720"/>
        <w:contextualSpacing w:val="0"/>
        <w:textAlignment w:val="center"/>
        <w:rPr>
          <w:rFonts w:ascii="Hadasa Roso SL" w:eastAsia="MS Mincho" w:hAnsi="Hadasa Roso SL"/>
          <w:b/>
          <w:bCs/>
          <w:color w:val="000000"/>
          <w:spacing w:val="1"/>
          <w:rtl/>
          <w:lang w:eastAsia="ja-JP"/>
        </w:rPr>
      </w:pPr>
      <w:r w:rsidRPr="00E51F8A">
        <w:rPr>
          <w:rFonts w:ascii="Hadasa Roso SL" w:eastAsia="MS Mincho" w:hAnsi="Hadasa Roso SL" w:hint="cs"/>
          <w:b/>
          <w:bCs/>
          <w:color w:val="000000"/>
          <w:spacing w:val="1"/>
          <w:rtl/>
          <w:lang w:eastAsia="ja-JP"/>
        </w:rPr>
        <w:t>עיקר 3:</w:t>
      </w:r>
      <w:r w:rsidRPr="00E51F8A">
        <w:rPr>
          <w:rFonts w:ascii="Hadasa Roso SL" w:eastAsia="MS Mincho" w:hAnsi="Hadasa Roso SL" w:hint="cs"/>
          <w:color w:val="000000"/>
          <w:spacing w:val="1"/>
          <w:rtl/>
          <w:lang w:eastAsia="ja-JP"/>
        </w:rPr>
        <w:t xml:space="preserve"> </w:t>
      </w:r>
      <w:r w:rsidRPr="00E51F8A">
        <w:rPr>
          <w:rFonts w:ascii="Hadasa Roso SL" w:eastAsia="MS Mincho" w:hAnsi="Hadasa Roso SL" w:hint="cs"/>
          <w:b/>
          <w:bCs/>
          <w:color w:val="000000"/>
          <w:spacing w:val="1"/>
          <w:rtl/>
          <w:lang w:eastAsia="ja-JP"/>
        </w:rPr>
        <w:t>עיגון סמכויות השירות וביצוען ביחס להקשרי מחשב וחומר מחשב</w:t>
      </w:r>
    </w:p>
    <w:p w14:paraId="3845ECAF"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color w:val="000000"/>
          <w:spacing w:val="1"/>
          <w:rtl/>
          <w:lang w:eastAsia="ja-JP"/>
        </w:rPr>
        <w:t>הצעת חוק זו מבקשת להבהיר</w:t>
      </w:r>
      <w:r w:rsidRPr="00E51F8A">
        <w:rPr>
          <w:rFonts w:ascii="Hadasa Roso SL" w:eastAsia="MS Mincho" w:hAnsi="Hadasa Roso SL" w:hint="cs"/>
          <w:color w:val="000000"/>
          <w:spacing w:val="1"/>
          <w:rtl/>
          <w:lang w:eastAsia="ja-JP"/>
        </w:rPr>
        <w:t xml:space="preserve"> ולטייב את גדרי </w:t>
      </w:r>
      <w:r w:rsidRPr="00E51F8A">
        <w:rPr>
          <w:rFonts w:ascii="Hadasa Roso SL" w:eastAsia="MS Mincho" w:hAnsi="Hadasa Roso SL"/>
          <w:color w:val="000000"/>
          <w:spacing w:val="1"/>
          <w:rtl/>
          <w:lang w:eastAsia="ja-JP"/>
        </w:rPr>
        <w:t>סמכויות השירות</w:t>
      </w:r>
      <w:r w:rsidRPr="00E51F8A">
        <w:rPr>
          <w:rFonts w:ascii="Hadasa Roso SL" w:eastAsia="MS Mincho" w:hAnsi="Hadasa Roso SL" w:hint="cs"/>
          <w:color w:val="000000"/>
          <w:spacing w:val="1"/>
          <w:rtl/>
          <w:lang w:eastAsia="ja-JP"/>
        </w:rPr>
        <w:t>, הקיימות כיום,</w:t>
      </w:r>
      <w:r w:rsidRPr="00E51F8A">
        <w:rPr>
          <w:rFonts w:ascii="Hadasa Roso SL" w:eastAsia="MS Mincho" w:hAnsi="Hadasa Roso SL"/>
          <w:color w:val="000000"/>
          <w:spacing w:val="1"/>
          <w:rtl/>
          <w:lang w:eastAsia="ja-JP"/>
        </w:rPr>
        <w:t xml:space="preserve"> לביצוע חיפוש בתחנת גבול (סעיף 9 לחוק </w:t>
      </w:r>
      <w:r w:rsidRPr="00E51F8A">
        <w:rPr>
          <w:rFonts w:ascii="Hadasa Roso SL" w:eastAsia="MS Mincho" w:hAnsi="Hadasa Roso SL" w:hint="cs"/>
          <w:color w:val="000000"/>
          <w:spacing w:val="1"/>
          <w:rtl/>
          <w:lang w:eastAsia="ja-JP"/>
        </w:rPr>
        <w:t>ה</w:t>
      </w:r>
      <w:r w:rsidRPr="00E51F8A">
        <w:rPr>
          <w:rFonts w:ascii="Hadasa Roso SL" w:eastAsia="MS Mincho" w:hAnsi="Hadasa Roso SL"/>
          <w:color w:val="000000"/>
          <w:spacing w:val="1"/>
          <w:rtl/>
          <w:lang w:eastAsia="ja-JP"/>
        </w:rPr>
        <w:t>שב"כ)</w:t>
      </w:r>
      <w:r w:rsidRPr="00E51F8A">
        <w:rPr>
          <w:rFonts w:ascii="Hadasa Roso SL" w:eastAsia="MS Mincho" w:hAnsi="Hadasa Roso SL" w:hint="cs"/>
          <w:color w:val="000000"/>
          <w:spacing w:val="1"/>
          <w:rtl/>
          <w:lang w:eastAsia="ja-JP"/>
        </w:rPr>
        <w:t xml:space="preserve">; </w:t>
      </w:r>
      <w:r w:rsidRPr="00E51F8A">
        <w:rPr>
          <w:rFonts w:ascii="Hadasa Roso SL" w:eastAsia="MS Mincho" w:hAnsi="Hadasa Roso SL"/>
          <w:color w:val="000000"/>
          <w:spacing w:val="1"/>
          <w:rtl/>
          <w:lang w:eastAsia="ja-JP"/>
        </w:rPr>
        <w:t xml:space="preserve">חיפוש סמוי (סעיף 10 לחוק </w:t>
      </w:r>
      <w:r w:rsidRPr="00E51F8A">
        <w:rPr>
          <w:rFonts w:ascii="Hadasa Roso SL" w:eastAsia="MS Mincho" w:hAnsi="Hadasa Roso SL" w:hint="cs"/>
          <w:color w:val="000000"/>
          <w:spacing w:val="1"/>
          <w:rtl/>
          <w:lang w:eastAsia="ja-JP"/>
        </w:rPr>
        <w:t>ה</w:t>
      </w:r>
      <w:r w:rsidRPr="00E51F8A">
        <w:rPr>
          <w:rFonts w:ascii="Hadasa Roso SL" w:eastAsia="MS Mincho" w:hAnsi="Hadasa Roso SL"/>
          <w:color w:val="000000"/>
          <w:spacing w:val="1"/>
          <w:rtl/>
          <w:lang w:eastAsia="ja-JP"/>
        </w:rPr>
        <w:t>שב"כ), בהקשרי מחשב וחומר מחשב.</w:t>
      </w:r>
    </w:p>
    <w:p w14:paraId="6D95D40E"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hint="cs"/>
          <w:color w:val="000000"/>
          <w:spacing w:val="1"/>
          <w:rtl/>
          <w:lang w:eastAsia="ja-JP"/>
        </w:rPr>
        <w:t>כמו כן,</w:t>
      </w:r>
      <w:r w:rsidRPr="00E51F8A">
        <w:rPr>
          <w:rFonts w:ascii="Hadasa Roso SL" w:eastAsia="MS Mincho" w:hAnsi="Hadasa Roso SL"/>
          <w:color w:val="000000"/>
          <w:spacing w:val="1"/>
          <w:rtl/>
          <w:lang w:eastAsia="ja-JP"/>
        </w:rPr>
        <w:t xml:space="preserve"> הצעת חוק זו מבקשת לעגן את סמכות </w:t>
      </w:r>
      <w:r w:rsidRPr="00E51F8A">
        <w:rPr>
          <w:rFonts w:ascii="Hadasa Roso SL" w:eastAsia="MS Mincho" w:hAnsi="Hadasa Roso SL" w:hint="cs"/>
          <w:color w:val="000000"/>
          <w:spacing w:val="1"/>
          <w:rtl/>
          <w:lang w:eastAsia="ja-JP"/>
        </w:rPr>
        <w:t>ה</w:t>
      </w:r>
      <w:r w:rsidRPr="00E51F8A">
        <w:rPr>
          <w:rFonts w:ascii="Hadasa Roso SL" w:eastAsia="MS Mincho" w:hAnsi="Hadasa Roso SL"/>
          <w:color w:val="000000"/>
          <w:spacing w:val="1"/>
          <w:rtl/>
          <w:lang w:eastAsia="ja-JP"/>
        </w:rPr>
        <w:t>ש</w:t>
      </w:r>
      <w:r w:rsidRPr="00E51F8A">
        <w:rPr>
          <w:rFonts w:ascii="Hadasa Roso SL" w:eastAsia="MS Mincho" w:hAnsi="Hadasa Roso SL" w:hint="cs"/>
          <w:color w:val="000000"/>
          <w:spacing w:val="1"/>
          <w:rtl/>
          <w:lang w:eastAsia="ja-JP"/>
        </w:rPr>
        <w:t>ירות</w:t>
      </w:r>
      <w:r w:rsidRPr="00E51F8A">
        <w:rPr>
          <w:rFonts w:ascii="Hadasa Roso SL" w:eastAsia="MS Mincho" w:hAnsi="Hadasa Roso SL"/>
          <w:color w:val="000000"/>
          <w:spacing w:val="1"/>
          <w:rtl/>
          <w:lang w:eastAsia="ja-JP"/>
        </w:rPr>
        <w:t xml:space="preserve"> לבצע פעולות בדבר המגלם חומר מחשב למטרת סיכול של פעילות טרור או ריגול </w:t>
      </w:r>
      <w:r w:rsidRPr="00E51F8A">
        <w:rPr>
          <w:rFonts w:ascii="Hadasa Roso SL" w:eastAsia="MS Mincho" w:hAnsi="Hadasa Roso SL" w:hint="cs"/>
          <w:color w:val="000000"/>
          <w:spacing w:val="1"/>
          <w:rtl/>
          <w:lang w:eastAsia="ja-JP"/>
        </w:rPr>
        <w:t>(</w:t>
      </w:r>
      <w:r w:rsidRPr="00E51F8A">
        <w:rPr>
          <w:rFonts w:ascii="Hadasa Roso SL" w:eastAsia="MS Mincho" w:hAnsi="Hadasa Roso SL"/>
          <w:color w:val="000000"/>
          <w:spacing w:val="1"/>
          <w:rtl/>
          <w:lang w:eastAsia="ja-JP"/>
        </w:rPr>
        <w:t>הוספת סעיף 10א לחוק</w:t>
      </w:r>
      <w:r w:rsidRPr="00E51F8A">
        <w:rPr>
          <w:rFonts w:ascii="Hadasa Roso SL" w:eastAsia="MS Mincho" w:hAnsi="Hadasa Roso SL" w:hint="cs"/>
          <w:color w:val="000000"/>
          <w:spacing w:val="1"/>
          <w:rtl/>
          <w:lang w:eastAsia="ja-JP"/>
        </w:rPr>
        <w:t>)</w:t>
      </w:r>
      <w:r w:rsidRPr="00E51F8A">
        <w:rPr>
          <w:rFonts w:ascii="Hadasa Roso SL" w:eastAsia="MS Mincho" w:hAnsi="Hadasa Roso SL"/>
          <w:color w:val="000000"/>
          <w:spacing w:val="1"/>
          <w:rtl/>
          <w:lang w:eastAsia="ja-JP"/>
        </w:rPr>
        <w:t xml:space="preserve">. </w:t>
      </w:r>
      <w:r w:rsidRPr="00E51F8A">
        <w:rPr>
          <w:rFonts w:ascii="Hadasa Roso SL" w:eastAsia="MS Mincho" w:hAnsi="Hadasa Roso SL" w:hint="cs"/>
          <w:color w:val="000000"/>
          <w:spacing w:val="1"/>
          <w:rtl/>
          <w:lang w:eastAsia="ja-JP"/>
        </w:rPr>
        <w:t>הטעם לכך הוא ש</w:t>
      </w:r>
      <w:r w:rsidRPr="00E51F8A">
        <w:rPr>
          <w:rFonts w:ascii="Hadasa Roso SL" w:eastAsia="MS Mincho" w:hAnsi="Hadasa Roso SL"/>
          <w:color w:val="000000"/>
          <w:spacing w:val="1"/>
          <w:rtl/>
          <w:lang w:eastAsia="ja-JP"/>
        </w:rPr>
        <w:t xml:space="preserve">לנוכח התגברות בפעילויות היריב במרחב הסייבר לרבות במישורי סיכול טרור, אבטחת מידע וסיכול פעולות רוגלה, ובין היתר, לאור מגמה </w:t>
      </w:r>
      <w:r w:rsidRPr="00E51F8A">
        <w:rPr>
          <w:rFonts w:ascii="Hadasa Roso SL" w:eastAsia="MS Mincho" w:hAnsi="Hadasa Roso SL"/>
          <w:color w:val="000000"/>
          <w:spacing w:val="1"/>
          <w:rtl/>
          <w:lang w:eastAsia="ja-JP"/>
        </w:rPr>
        <w:lastRenderedPageBreak/>
        <w:t>גוברת של הכנת מעשי טרור, תיאומם, ארגונם או הסתה לביצועם על ידי שימוש בטכנולוגיה מתקדמת הקשורה למחשבים, ישנו צורך חיוני במתן סמכות לביצוע פעולות בדבר המגלם חומר מחשב הקשור לפעילות טרור, או לפעילות ריגול במטרה לשבש את פעילות הטרור או לסכלה כדי למנוע פגיעה בחיי אדם או למנוע פגיעה חמורה בביטחון המדינה.</w:t>
      </w:r>
    </w:p>
    <w:p w14:paraId="27F51F2A"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b/>
          <w:bCs/>
          <w:color w:val="000000"/>
          <w:spacing w:val="1"/>
          <w:rtl/>
          <w:lang w:eastAsia="ja-JP"/>
        </w:rPr>
      </w:pPr>
      <w:r w:rsidRPr="00E51F8A">
        <w:rPr>
          <w:rFonts w:ascii="Hadasa Roso SL" w:eastAsia="MS Mincho" w:hAnsi="Hadasa Roso SL" w:hint="cs"/>
          <w:b/>
          <w:bCs/>
          <w:color w:val="000000"/>
          <w:spacing w:val="1"/>
          <w:rtl/>
          <w:lang w:eastAsia="ja-JP"/>
        </w:rPr>
        <w:t>עיקר 4: הקניית סמכות נוספת לשירות לעניין מידע או סוגי מידע</w:t>
      </w:r>
    </w:p>
    <w:p w14:paraId="01B94E53"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bookmarkStart w:id="0" w:name="_Hlk150784937"/>
      <w:r w:rsidRPr="00E51F8A">
        <w:rPr>
          <w:rFonts w:ascii="Hadasa Roso SL" w:eastAsia="MS Mincho" w:hAnsi="Hadasa Roso SL" w:hint="cs"/>
          <w:color w:val="000000"/>
          <w:spacing w:val="1"/>
          <w:rtl/>
          <w:lang w:eastAsia="ja-JP"/>
        </w:rPr>
        <w:t>הצעת חוק זו מבקשת לאפשר, לתקופת זמן מוגבלת, להקנות לשירות סמכות נוספת עניין מידע או סוגי מידע, לשם מניעת עבירות בתחומים המפורטים בסעיפים 7(ב)(1), (2) או (6) לחוק השב"כ, ככל שיתעורר צורך חיוני בסמכות אשר הסמכויות הקיימות כיום בחוק לעניין מידע או סוגי מידע כאמור אינן יכולות לתת לו מענה. זאת, בכפוף להחלטה של ועדת השרים לענייני השירות ולאישור ועדת הכנסת לענייני השירות, לאחר שהשתכנעו כי התעוררו נסיבות חדשות המצדיקות מתן סמכות כאמור.</w:t>
      </w:r>
    </w:p>
    <w:p w14:paraId="3CFE853E"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b/>
          <w:bCs/>
          <w:color w:val="000000"/>
          <w:spacing w:val="1"/>
          <w:rtl/>
          <w:lang w:eastAsia="ja-JP"/>
        </w:rPr>
      </w:pPr>
      <w:r w:rsidRPr="00E51F8A">
        <w:rPr>
          <w:rFonts w:ascii="Hadasa Roso SL" w:eastAsia="MS Mincho" w:hAnsi="Hadasa Roso SL" w:hint="cs"/>
          <w:b/>
          <w:bCs/>
          <w:color w:val="000000"/>
          <w:spacing w:val="1"/>
          <w:rtl/>
          <w:lang w:eastAsia="ja-JP"/>
        </w:rPr>
        <w:t>עיקר 5: קביעת סיווג ביטחוני והתאמה ביטחונית לבעל תפקיד בהליך</w:t>
      </w:r>
    </w:p>
    <w:p w14:paraId="0B4A731F" w14:textId="77777777" w:rsidR="00E51F8A" w:rsidRPr="00E51F8A" w:rsidRDefault="00E51F8A" w:rsidP="00E51F8A">
      <w:pPr>
        <w:autoSpaceDE w:val="0"/>
        <w:autoSpaceDN w:val="0"/>
        <w:adjustRightInd w:val="0"/>
        <w:spacing w:before="102"/>
        <w:ind w:left="386"/>
        <w:contextualSpacing w:val="0"/>
        <w:textAlignment w:val="center"/>
        <w:rPr>
          <w:rFonts w:eastAsia="MS Mincho"/>
          <w:color w:val="000000"/>
          <w:spacing w:val="1"/>
          <w:rtl/>
          <w:lang w:eastAsia="ja-JP"/>
        </w:rPr>
      </w:pPr>
      <w:r w:rsidRPr="00E51F8A">
        <w:rPr>
          <w:rFonts w:eastAsia="MS Mincho" w:hint="cs"/>
          <w:color w:val="000000"/>
          <w:spacing w:val="1"/>
          <w:rtl/>
          <w:lang w:eastAsia="ja-JP"/>
        </w:rPr>
        <w:t xml:space="preserve">בשנים האחרונות, עלה צורך לבצע התאמה ביטחונית </w:t>
      </w:r>
      <w:bookmarkStart w:id="1" w:name="_Hlk151931986"/>
      <w:r w:rsidRPr="00E51F8A">
        <w:rPr>
          <w:rFonts w:eastAsia="MS Mincho" w:hint="cs"/>
          <w:color w:val="000000"/>
          <w:spacing w:val="1"/>
          <w:rtl/>
          <w:lang w:eastAsia="ja-JP"/>
        </w:rPr>
        <w:t>לגורמים נוספים שאינם נחשבים במישרין למי שממלאים תפקיד או משרה בשירות הציבורי או בגופים אחרים, כפי שקבעה הממשלה</w:t>
      </w:r>
      <w:bookmarkEnd w:id="1"/>
      <w:r w:rsidRPr="00E51F8A">
        <w:rPr>
          <w:rFonts w:eastAsia="MS Mincho" w:hint="cs"/>
          <w:color w:val="000000"/>
          <w:spacing w:val="1"/>
          <w:rtl/>
          <w:lang w:eastAsia="ja-JP"/>
        </w:rPr>
        <w:t xml:space="preserve">. המדובר בבעלי מקצועות חופשיים כדוגמת עורכי דין, מומחים, מגשרים וכדומה, שאינם מועסקים בתפקיד או משרה כאמור, אלא שבהקשרים מסוימים, מילוי תפקידם מחייב חשיפתם לחומר מסווג. </w:t>
      </w:r>
    </w:p>
    <w:p w14:paraId="422F1D57" w14:textId="77777777" w:rsidR="00E51F8A" w:rsidRPr="00E51F8A" w:rsidRDefault="00E51F8A" w:rsidP="00E51F8A">
      <w:pPr>
        <w:autoSpaceDE w:val="0"/>
        <w:autoSpaceDN w:val="0"/>
        <w:adjustRightInd w:val="0"/>
        <w:spacing w:before="102"/>
        <w:ind w:left="386"/>
        <w:contextualSpacing w:val="0"/>
        <w:textAlignment w:val="center"/>
        <w:rPr>
          <w:rFonts w:eastAsia="MS Mincho"/>
          <w:color w:val="000000"/>
          <w:spacing w:val="1"/>
          <w:lang w:eastAsia="ja-JP"/>
        </w:rPr>
      </w:pPr>
      <w:r w:rsidRPr="00E51F8A">
        <w:rPr>
          <w:rFonts w:eastAsia="MS Mincho" w:hint="cs"/>
          <w:color w:val="000000"/>
          <w:spacing w:val="1"/>
          <w:rtl/>
          <w:lang w:eastAsia="ja-JP"/>
        </w:rPr>
        <w:t>לצורך הרחבת סמכות השירות לקבוע הוראות בדבר סיווג ביטחוני לתפקידים כאמור ובהתאם לבצע הליכי התאמה ביטחונית למי שממלא אותם, מוצע לתקן את סעיפים 7(ב)(3) ו-</w:t>
      </w:r>
      <w:r w:rsidRPr="00E51F8A">
        <w:rPr>
          <w:rFonts w:eastAsia="MS Mincho"/>
          <w:color w:val="000000"/>
          <w:spacing w:val="1"/>
          <w:rtl/>
          <w:lang w:eastAsia="ja-JP"/>
        </w:rPr>
        <w:t>15</w:t>
      </w:r>
      <w:r w:rsidRPr="00E51F8A">
        <w:rPr>
          <w:rFonts w:eastAsia="MS Mincho" w:hint="cs"/>
          <w:color w:val="000000"/>
          <w:spacing w:val="1"/>
          <w:rtl/>
          <w:lang w:eastAsia="ja-JP"/>
        </w:rPr>
        <w:t xml:space="preserve"> ולהקנות </w:t>
      </w:r>
      <w:r w:rsidRPr="00E51F8A">
        <w:rPr>
          <w:rFonts w:eastAsia="MS Mincho"/>
          <w:color w:val="000000"/>
          <w:spacing w:val="1"/>
          <w:sz w:val="18"/>
          <w:rtl/>
          <w:lang w:eastAsia="ja-JP"/>
        </w:rPr>
        <w:t xml:space="preserve">לשירות </w:t>
      </w:r>
      <w:r w:rsidRPr="00E51F8A">
        <w:rPr>
          <w:rFonts w:eastAsia="MS Mincho" w:hint="cs"/>
          <w:color w:val="000000"/>
          <w:spacing w:val="1"/>
          <w:sz w:val="18"/>
          <w:rtl/>
          <w:lang w:eastAsia="ja-JP"/>
        </w:rPr>
        <w:t xml:space="preserve">סמכות </w:t>
      </w:r>
      <w:r w:rsidRPr="00E51F8A">
        <w:rPr>
          <w:rFonts w:eastAsia="MS Mincho"/>
          <w:color w:val="000000"/>
          <w:spacing w:val="1"/>
          <w:sz w:val="18"/>
          <w:rtl/>
          <w:lang w:eastAsia="ja-JP"/>
        </w:rPr>
        <w:t>לקבוע הוראות בדבר סיווג ביטחוני לתפקידים כאמור, ובהתאם גם לקבוע התאמה ביטחונית לבעלי תפקידים  הממלאים אותם, לעניין סוגי ההליכים המוגדרים בסעיף 15</w:t>
      </w:r>
      <w:r w:rsidRPr="00E51F8A">
        <w:rPr>
          <w:rFonts w:eastAsia="MS Mincho" w:hint="cs"/>
          <w:color w:val="000000"/>
          <w:spacing w:val="1"/>
          <w:sz w:val="18"/>
          <w:rtl/>
          <w:lang w:eastAsia="ja-JP"/>
        </w:rPr>
        <w:t>.</w:t>
      </w:r>
      <w:r w:rsidRPr="00E51F8A">
        <w:rPr>
          <w:rFonts w:eastAsia="MS Mincho"/>
          <w:color w:val="000000"/>
          <w:spacing w:val="1"/>
          <w:sz w:val="18"/>
          <w:rtl/>
          <w:lang w:eastAsia="ja-JP"/>
        </w:rPr>
        <w:t xml:space="preserve"> זאת, מבלי לגרוע מסמכות השירות לפי החוק לקבוע הוראות בדבר סיווג בטחוני והתאמה ביטחונית לתפקידים ולמשרות בשירות הציבורי ובגופים אחרים, כפי שקבעה הממשלה.</w:t>
      </w:r>
    </w:p>
    <w:bookmarkEnd w:id="0"/>
    <w:p w14:paraId="24856B79" w14:textId="77777777" w:rsidR="00E51F8A" w:rsidRPr="00E51F8A" w:rsidRDefault="00E51F8A" w:rsidP="00E51F8A">
      <w:pPr>
        <w:numPr>
          <w:ilvl w:val="0"/>
          <w:numId w:val="32"/>
        </w:numPr>
        <w:tabs>
          <w:tab w:val="num" w:pos="386"/>
        </w:tabs>
        <w:autoSpaceDE w:val="0"/>
        <w:autoSpaceDN w:val="0"/>
        <w:adjustRightInd w:val="0"/>
        <w:spacing w:before="102" w:line="204" w:lineRule="atLeast"/>
        <w:ind w:left="386"/>
        <w:contextualSpacing w:val="0"/>
        <w:textAlignment w:val="center"/>
        <w:rPr>
          <w:rFonts w:ascii="Hadasa Roso SL" w:eastAsia="MS Mincho" w:hAnsi="Hadasa Roso SL"/>
          <w:b/>
          <w:bCs/>
          <w:color w:val="000000"/>
          <w:spacing w:val="1"/>
          <w:u w:val="single"/>
          <w:lang w:eastAsia="ja-JP"/>
        </w:rPr>
      </w:pPr>
      <w:r w:rsidRPr="00E51F8A">
        <w:rPr>
          <w:rFonts w:ascii="Hadasa Roso SL" w:eastAsia="MS Mincho" w:hAnsi="Hadasa Roso SL" w:hint="cs"/>
          <w:b/>
          <w:bCs/>
          <w:color w:val="000000"/>
          <w:spacing w:val="1"/>
          <w:u w:val="single"/>
          <w:rtl/>
          <w:lang w:eastAsia="ja-JP"/>
        </w:rPr>
        <w:t>השפעת החוק המוצע על החוק הקיים</w:t>
      </w:r>
    </w:p>
    <w:p w14:paraId="2D78C4C5" w14:textId="77777777" w:rsidR="00E51F8A" w:rsidRPr="00E51F8A" w:rsidRDefault="00E51F8A" w:rsidP="00E51F8A">
      <w:pPr>
        <w:tabs>
          <w:tab w:val="num" w:pos="386"/>
        </w:tabs>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hint="cs"/>
          <w:color w:val="000000"/>
          <w:spacing w:val="1"/>
          <w:rtl/>
          <w:lang w:eastAsia="ja-JP"/>
        </w:rPr>
        <w:t>תזכיר חוק זה כולל שורה של תיקונים שמוצע לערוך בחוק השב"כ:</w:t>
      </w:r>
    </w:p>
    <w:p w14:paraId="0D217BCE" w14:textId="77777777" w:rsidR="00E51F8A" w:rsidRPr="00E51F8A" w:rsidRDefault="00E51F8A" w:rsidP="00E51F8A">
      <w:pPr>
        <w:numPr>
          <w:ilvl w:val="0"/>
          <w:numId w:val="33"/>
        </w:numPr>
        <w:autoSpaceDE w:val="0"/>
        <w:autoSpaceDN w:val="0"/>
        <w:adjustRightInd w:val="0"/>
        <w:spacing w:before="102" w:line="204" w:lineRule="atLeast"/>
        <w:contextualSpacing w:val="0"/>
        <w:textAlignment w:val="center"/>
        <w:rPr>
          <w:rFonts w:ascii="Hadasa Roso SL" w:eastAsia="MS Mincho" w:hAnsi="Hadasa Roso SL"/>
          <w:color w:val="000000"/>
          <w:spacing w:val="1"/>
          <w:lang w:eastAsia="ja-JP"/>
        </w:rPr>
      </w:pPr>
      <w:r w:rsidRPr="00E51F8A">
        <w:rPr>
          <w:rFonts w:ascii="Hadasa Roso SL" w:eastAsia="MS Mincho" w:hAnsi="Hadasa Roso SL" w:hint="cs"/>
          <w:color w:val="000000"/>
          <w:spacing w:val="1"/>
          <w:rtl/>
          <w:lang w:eastAsia="ja-JP"/>
        </w:rPr>
        <w:t>יתוקנו סעיפים 1, 7, 8, 9, 10, 11, 15, 19, ו-22 לחוק השב"כ.</w:t>
      </w:r>
    </w:p>
    <w:p w14:paraId="58975731" w14:textId="77777777" w:rsidR="00E51F8A" w:rsidRPr="00E51F8A" w:rsidRDefault="00E51F8A" w:rsidP="00E51F8A">
      <w:pPr>
        <w:numPr>
          <w:ilvl w:val="0"/>
          <w:numId w:val="33"/>
        </w:numPr>
        <w:autoSpaceDE w:val="0"/>
        <w:autoSpaceDN w:val="0"/>
        <w:adjustRightInd w:val="0"/>
        <w:spacing w:before="102" w:line="204" w:lineRule="atLeast"/>
        <w:contextualSpacing w:val="0"/>
        <w:textAlignment w:val="center"/>
        <w:rPr>
          <w:rFonts w:ascii="Hadasa Roso SL" w:eastAsia="MS Mincho" w:hAnsi="Hadasa Roso SL"/>
          <w:color w:val="000000"/>
          <w:spacing w:val="1"/>
          <w:lang w:eastAsia="ja-JP"/>
        </w:rPr>
      </w:pPr>
      <w:r w:rsidRPr="00E51F8A">
        <w:rPr>
          <w:rFonts w:ascii="Hadasa Roso SL" w:eastAsia="MS Mincho" w:hAnsi="Hadasa Roso SL" w:hint="cs"/>
          <w:color w:val="000000"/>
          <w:spacing w:val="1"/>
          <w:rtl/>
          <w:lang w:eastAsia="ja-JP"/>
        </w:rPr>
        <w:t>יתווספו סעיפים 8א, 8ב, 10א,11א ו-11ב לחוק השב"כ.</w:t>
      </w:r>
    </w:p>
    <w:p w14:paraId="40F8C5F9" w14:textId="77777777" w:rsidR="00E51F8A" w:rsidRPr="00E51F8A" w:rsidRDefault="00E51F8A" w:rsidP="00E51F8A">
      <w:pPr>
        <w:numPr>
          <w:ilvl w:val="0"/>
          <w:numId w:val="32"/>
        </w:numPr>
        <w:tabs>
          <w:tab w:val="num" w:pos="386"/>
        </w:tabs>
        <w:autoSpaceDE w:val="0"/>
        <w:autoSpaceDN w:val="0"/>
        <w:adjustRightInd w:val="0"/>
        <w:spacing w:before="102" w:line="204" w:lineRule="atLeast"/>
        <w:ind w:left="386"/>
        <w:contextualSpacing w:val="0"/>
        <w:textAlignment w:val="center"/>
        <w:rPr>
          <w:rFonts w:ascii="Hadasa Roso SL" w:eastAsia="MS Mincho" w:hAnsi="Hadasa Roso SL"/>
          <w:b/>
          <w:bCs/>
          <w:color w:val="000000"/>
          <w:spacing w:val="1"/>
          <w:u w:val="single"/>
          <w:lang w:eastAsia="ja-JP"/>
        </w:rPr>
      </w:pPr>
      <w:r w:rsidRPr="00E51F8A">
        <w:rPr>
          <w:rFonts w:ascii="Hadasa Roso SL" w:eastAsia="MS Mincho" w:hAnsi="Hadasa Roso SL" w:hint="cs"/>
          <w:b/>
          <w:bCs/>
          <w:color w:val="000000"/>
          <w:spacing w:val="1"/>
          <w:u w:val="single"/>
          <w:rtl/>
          <w:lang w:eastAsia="ja-JP"/>
        </w:rPr>
        <w:t xml:space="preserve">השפעת החוק המוצע על תקציב המדינה, על תקנים במשרדי הממשלה ועל ההיבט </w:t>
      </w:r>
      <w:proofErr w:type="spellStart"/>
      <w:r w:rsidRPr="00E51F8A">
        <w:rPr>
          <w:rFonts w:ascii="Hadasa Roso SL" w:eastAsia="MS Mincho" w:hAnsi="Hadasa Roso SL" w:hint="cs"/>
          <w:b/>
          <w:bCs/>
          <w:color w:val="000000"/>
          <w:spacing w:val="1"/>
          <w:u w:val="single"/>
          <w:rtl/>
          <w:lang w:eastAsia="ja-JP"/>
        </w:rPr>
        <w:t>המינהלי</w:t>
      </w:r>
      <w:proofErr w:type="spellEnd"/>
    </w:p>
    <w:p w14:paraId="22CFACC3"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hint="cs"/>
          <w:color w:val="000000"/>
          <w:spacing w:val="1"/>
          <w:rtl/>
          <w:lang w:eastAsia="ja-JP"/>
        </w:rPr>
        <w:t>לא רלוונטי</w:t>
      </w:r>
    </w:p>
    <w:p w14:paraId="14237D60" w14:textId="77777777" w:rsidR="00E51F8A" w:rsidRPr="00E51F8A" w:rsidRDefault="00E51F8A" w:rsidP="00E51F8A">
      <w:pPr>
        <w:numPr>
          <w:ilvl w:val="0"/>
          <w:numId w:val="32"/>
        </w:numPr>
        <w:tabs>
          <w:tab w:val="num" w:pos="386"/>
        </w:tabs>
        <w:autoSpaceDE w:val="0"/>
        <w:autoSpaceDN w:val="0"/>
        <w:adjustRightInd w:val="0"/>
        <w:spacing w:before="102" w:line="204" w:lineRule="atLeast"/>
        <w:ind w:left="386"/>
        <w:contextualSpacing w:val="0"/>
        <w:textAlignment w:val="center"/>
        <w:rPr>
          <w:rFonts w:ascii="Hadasa Roso SL" w:eastAsia="MS Mincho" w:hAnsi="Hadasa Roso SL"/>
          <w:b/>
          <w:bCs/>
          <w:color w:val="000000"/>
          <w:spacing w:val="1"/>
          <w:u w:val="single"/>
          <w:lang w:eastAsia="ja-JP"/>
        </w:rPr>
      </w:pPr>
      <w:r w:rsidRPr="00E51F8A">
        <w:rPr>
          <w:rFonts w:ascii="Hadasa Roso SL" w:eastAsia="MS Mincho" w:hAnsi="Hadasa Roso SL" w:hint="cs"/>
          <w:b/>
          <w:bCs/>
          <w:color w:val="000000"/>
          <w:spacing w:val="1"/>
          <w:u w:val="single"/>
          <w:rtl/>
          <w:lang w:eastAsia="ja-JP"/>
        </w:rPr>
        <w:t>נוסח החוק המוצע:</w:t>
      </w:r>
    </w:p>
    <w:p w14:paraId="308D78C2" w14:textId="77777777" w:rsidR="00E51F8A" w:rsidRPr="00E51F8A" w:rsidRDefault="00E51F8A" w:rsidP="00E51F8A">
      <w:pPr>
        <w:autoSpaceDE w:val="0"/>
        <w:autoSpaceDN w:val="0"/>
        <w:adjustRightInd w:val="0"/>
        <w:spacing w:before="102"/>
        <w:ind w:left="386"/>
        <w:contextualSpacing w:val="0"/>
        <w:textAlignment w:val="center"/>
        <w:rPr>
          <w:rFonts w:ascii="Hadasa Roso SL" w:eastAsia="MS Mincho" w:hAnsi="Hadasa Roso SL"/>
          <w:color w:val="000000"/>
          <w:spacing w:val="1"/>
          <w:rtl/>
          <w:lang w:eastAsia="ja-JP"/>
        </w:rPr>
      </w:pPr>
      <w:r w:rsidRPr="00E51F8A">
        <w:rPr>
          <w:rFonts w:ascii="Hadasa Roso SL" w:eastAsia="MS Mincho" w:hAnsi="Hadasa Roso SL" w:hint="cs"/>
          <w:color w:val="000000"/>
          <w:spacing w:val="1"/>
          <w:rtl/>
          <w:lang w:eastAsia="ja-JP"/>
        </w:rPr>
        <w:t>להלן נוסח החוק מוצע:</w:t>
      </w:r>
    </w:p>
    <w:p w14:paraId="3E5E7CC0" w14:textId="77777777" w:rsidR="00E51F8A" w:rsidRPr="00E51F8A" w:rsidRDefault="00E51F8A" w:rsidP="00E51F8A">
      <w:pPr>
        <w:autoSpaceDE w:val="0"/>
        <w:autoSpaceDN w:val="0"/>
        <w:adjustRightInd w:val="0"/>
        <w:snapToGrid w:val="0"/>
        <w:spacing w:before="480"/>
        <w:ind w:left="0"/>
        <w:contextualSpacing w:val="0"/>
        <w:textAlignment w:val="center"/>
        <w:rPr>
          <w:rFonts w:ascii="Arial" w:eastAsia="Arial Unicode MS" w:hAnsi="Arial"/>
          <w:b/>
          <w:bCs/>
          <w:snapToGrid w:val="0"/>
          <w:color w:val="000000"/>
          <w:sz w:val="20"/>
          <w:szCs w:val="26"/>
          <w:rtl/>
          <w:lang w:eastAsia="ja-JP"/>
        </w:rPr>
      </w:pPr>
    </w:p>
    <w:p w14:paraId="61617683" w14:textId="77777777" w:rsidR="00E51F8A" w:rsidRDefault="00E51F8A" w:rsidP="00722C14">
      <w:pPr>
        <w:pStyle w:val="HeadMitparsemetBaze"/>
        <w:keepNext w:val="0"/>
        <w:keepLines w:val="0"/>
        <w:pageBreakBefore w:val="0"/>
        <w:rPr>
          <w:rtl/>
        </w:rPr>
      </w:pPr>
    </w:p>
    <w:p w14:paraId="3FE5F38F" w14:textId="77777777" w:rsidR="00E51F8A" w:rsidRDefault="00E51F8A" w:rsidP="00722C14">
      <w:pPr>
        <w:pStyle w:val="HeadMitparsemetBaze"/>
        <w:keepNext w:val="0"/>
        <w:keepLines w:val="0"/>
        <w:pageBreakBefore w:val="0"/>
        <w:rPr>
          <w:rtl/>
        </w:rPr>
      </w:pPr>
    </w:p>
    <w:p w14:paraId="497AB44C" w14:textId="77777777" w:rsidR="00E51F8A" w:rsidRDefault="00E51F8A" w:rsidP="00722C14">
      <w:pPr>
        <w:pStyle w:val="HeadMitparsemetBaze"/>
        <w:keepNext w:val="0"/>
        <w:keepLines w:val="0"/>
        <w:pageBreakBefore w:val="0"/>
        <w:rPr>
          <w:rtl/>
        </w:rPr>
      </w:pPr>
    </w:p>
    <w:p w14:paraId="403B7BA8" w14:textId="77777777" w:rsidR="00E51F8A" w:rsidRDefault="00E51F8A" w:rsidP="0064094F">
      <w:pPr>
        <w:pStyle w:val="HeadMitparsemetBaze"/>
        <w:keepNext w:val="0"/>
        <w:keepLines w:val="0"/>
        <w:pageBreakBefore w:val="0"/>
        <w:rPr>
          <w:rtl/>
        </w:rPr>
      </w:pPr>
      <w:r>
        <w:rPr>
          <w:rFonts w:hint="cs"/>
          <w:rtl/>
        </w:rPr>
        <w:lastRenderedPageBreak/>
        <w:t>תזכיר</w:t>
      </w:r>
      <w:r>
        <w:rPr>
          <w:rtl/>
        </w:rPr>
        <w:t xml:space="preserve"> חוק </w:t>
      </w:r>
      <w:r>
        <w:rPr>
          <w:rFonts w:hint="cs"/>
          <w:rtl/>
        </w:rPr>
        <w:t xml:space="preserve">מטעם משרד ראש הממשלה: </w:t>
      </w:r>
    </w:p>
    <w:p w14:paraId="4503C00F" w14:textId="77777777" w:rsidR="00E51F8A" w:rsidRDefault="00E51F8A" w:rsidP="00E51F8A">
      <w:pPr>
        <w:pStyle w:val="HeadHatzaotHok"/>
        <w:keepNext w:val="0"/>
        <w:keepLines w:val="0"/>
        <w:rPr>
          <w:rtl/>
        </w:rPr>
      </w:pPr>
      <w:r>
        <w:rPr>
          <w:rFonts w:hint="cs"/>
          <w:rtl/>
        </w:rPr>
        <w:t>תזכיר חוק שירות הביטחון הכללי (תיקון מס' ...), התשפ"ד-2023</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624"/>
        <w:gridCol w:w="624"/>
        <w:gridCol w:w="624"/>
        <w:gridCol w:w="626"/>
        <w:gridCol w:w="3401"/>
      </w:tblGrid>
      <w:tr w:rsidR="00DA31BF" w14:paraId="20F5AB7B" w14:textId="77777777" w:rsidTr="004E6068">
        <w:trPr>
          <w:cantSplit/>
          <w:trHeight w:val="60"/>
        </w:trPr>
        <w:tc>
          <w:tcPr>
            <w:tcW w:w="1870" w:type="dxa"/>
          </w:tcPr>
          <w:p w14:paraId="4DF7C5F3" w14:textId="77777777" w:rsidR="00DA31BF" w:rsidRDefault="00DA31BF">
            <w:pPr>
              <w:pStyle w:val="TableSideHeading"/>
              <w:rPr>
                <w:rtl/>
              </w:rPr>
            </w:pPr>
          </w:p>
        </w:tc>
        <w:tc>
          <w:tcPr>
            <w:tcW w:w="624" w:type="dxa"/>
          </w:tcPr>
          <w:p w14:paraId="3571DBF0" w14:textId="77777777" w:rsidR="00DA31BF" w:rsidRDefault="00DA31BF">
            <w:pPr>
              <w:pStyle w:val="TableText"/>
            </w:pPr>
          </w:p>
        </w:tc>
        <w:tc>
          <w:tcPr>
            <w:tcW w:w="7147" w:type="dxa"/>
            <w:gridSpan w:val="7"/>
          </w:tcPr>
          <w:p w14:paraId="6C0F45CD" w14:textId="77777777" w:rsidR="00DA31BF" w:rsidRDefault="00DA31BF">
            <w:pPr>
              <w:pStyle w:val="TableHead"/>
            </w:pPr>
          </w:p>
        </w:tc>
      </w:tr>
      <w:tr w:rsidR="00DA31BF" w14:paraId="420F864E" w14:textId="77777777" w:rsidTr="004E6068">
        <w:trPr>
          <w:cantSplit/>
          <w:trHeight w:val="60"/>
        </w:trPr>
        <w:tc>
          <w:tcPr>
            <w:tcW w:w="1870" w:type="dxa"/>
          </w:tcPr>
          <w:p w14:paraId="0BC057A4" w14:textId="7AE71B0F" w:rsidR="00DA31BF" w:rsidRDefault="00DA31BF">
            <w:pPr>
              <w:pStyle w:val="TableSideHeading"/>
            </w:pPr>
            <w:r>
              <w:rPr>
                <w:rFonts w:hint="cs"/>
                <w:rtl/>
              </w:rPr>
              <w:t>תיקון סעיף 1</w:t>
            </w:r>
          </w:p>
        </w:tc>
        <w:tc>
          <w:tcPr>
            <w:tcW w:w="624" w:type="dxa"/>
          </w:tcPr>
          <w:p w14:paraId="6CEEECC4" w14:textId="77777777" w:rsidR="00DA31BF" w:rsidRDefault="00DA31BF" w:rsidP="00F44C09">
            <w:pPr>
              <w:pStyle w:val="TableText"/>
              <w:numPr>
                <w:ilvl w:val="0"/>
                <w:numId w:val="1"/>
              </w:numPr>
            </w:pPr>
          </w:p>
        </w:tc>
        <w:tc>
          <w:tcPr>
            <w:tcW w:w="7147" w:type="dxa"/>
            <w:gridSpan w:val="7"/>
          </w:tcPr>
          <w:p w14:paraId="24FE1244" w14:textId="71946BCC" w:rsidR="00DA31BF" w:rsidRDefault="00DA31BF">
            <w:pPr>
              <w:pStyle w:val="TableBlock"/>
            </w:pPr>
            <w:r w:rsidRPr="00DA31BF">
              <w:rPr>
                <w:rtl/>
              </w:rPr>
              <w:t>בחוק שירות הביטחון הכללי, התשס"ב-2002</w:t>
            </w:r>
            <w:r w:rsidR="00493D34" w:rsidRPr="00493D34">
              <w:rPr>
                <w:rStyle w:val="a7"/>
                <w:caps/>
                <w:rtl/>
              </w:rPr>
              <w:footnoteReference w:id="1"/>
            </w:r>
            <w:r w:rsidRPr="00493D34">
              <w:rPr>
                <w:rtl/>
              </w:rPr>
              <w:t xml:space="preserve"> </w:t>
            </w:r>
            <w:r w:rsidRPr="00DA31BF">
              <w:rPr>
                <w:rtl/>
              </w:rPr>
              <w:t>(להלן – החוק העיקרי), בסעיף 1, אחרי הגדרת "נוהלי השירות" יבוא</w:t>
            </w:r>
            <w:r>
              <w:rPr>
                <w:rFonts w:hint="cs"/>
                <w:rtl/>
              </w:rPr>
              <w:t>:</w:t>
            </w:r>
          </w:p>
        </w:tc>
      </w:tr>
      <w:tr w:rsidR="00DA31BF" w14:paraId="03D7A638" w14:textId="77777777" w:rsidTr="004E6068">
        <w:trPr>
          <w:cantSplit/>
          <w:trHeight w:val="60"/>
        </w:trPr>
        <w:tc>
          <w:tcPr>
            <w:tcW w:w="1870" w:type="dxa"/>
          </w:tcPr>
          <w:p w14:paraId="3B4004C3" w14:textId="77777777" w:rsidR="00DA31BF" w:rsidRDefault="00DA31BF">
            <w:pPr>
              <w:pStyle w:val="TableSideHeading"/>
            </w:pPr>
          </w:p>
        </w:tc>
        <w:tc>
          <w:tcPr>
            <w:tcW w:w="624" w:type="dxa"/>
          </w:tcPr>
          <w:p w14:paraId="22038FF9" w14:textId="77777777" w:rsidR="00DA31BF" w:rsidRDefault="00DA31BF">
            <w:pPr>
              <w:pStyle w:val="TableText"/>
            </w:pPr>
          </w:p>
        </w:tc>
        <w:tc>
          <w:tcPr>
            <w:tcW w:w="624" w:type="dxa"/>
          </w:tcPr>
          <w:p w14:paraId="7DB702D8" w14:textId="77777777" w:rsidR="00DA31BF" w:rsidRDefault="00DA31BF">
            <w:pPr>
              <w:pStyle w:val="TableText"/>
            </w:pPr>
          </w:p>
        </w:tc>
        <w:tc>
          <w:tcPr>
            <w:tcW w:w="6523" w:type="dxa"/>
            <w:gridSpan w:val="6"/>
          </w:tcPr>
          <w:p w14:paraId="70F50BEE" w14:textId="7B24839C" w:rsidR="00DA31BF" w:rsidRDefault="00DA31BF" w:rsidP="00DA31BF">
            <w:pPr>
              <w:pStyle w:val="TableBlock"/>
              <w:tabs>
                <w:tab w:val="clear" w:pos="624"/>
                <w:tab w:val="clear" w:pos="1247"/>
              </w:tabs>
            </w:pPr>
            <w:r w:rsidRPr="00DA31BF">
              <w:rPr>
                <w:rtl/>
              </w:rPr>
              <w:t>""דבר המגלם חומר מחשב" – כמשמעותו בחוק המחשבים, התשנ"ה-1995</w:t>
            </w:r>
            <w:r w:rsidR="00803612" w:rsidRPr="00493D34">
              <w:rPr>
                <w:rStyle w:val="a7"/>
                <w:rtl/>
              </w:rPr>
              <w:footnoteReference w:id="2"/>
            </w:r>
            <w:r w:rsidRPr="00DA31BF">
              <w:rPr>
                <w:rtl/>
              </w:rPr>
              <w:t>";</w:t>
            </w:r>
          </w:p>
        </w:tc>
      </w:tr>
      <w:tr w:rsidR="00493D34" w14:paraId="621FC79B" w14:textId="77777777" w:rsidTr="004E6068">
        <w:trPr>
          <w:cantSplit/>
          <w:trHeight w:val="60"/>
        </w:trPr>
        <w:tc>
          <w:tcPr>
            <w:tcW w:w="1870" w:type="dxa"/>
          </w:tcPr>
          <w:p w14:paraId="1BA2051E" w14:textId="77777777" w:rsidR="00493D34" w:rsidRDefault="00493D34">
            <w:pPr>
              <w:pStyle w:val="TableSideHeading"/>
            </w:pPr>
          </w:p>
        </w:tc>
        <w:tc>
          <w:tcPr>
            <w:tcW w:w="624" w:type="dxa"/>
          </w:tcPr>
          <w:p w14:paraId="31AB0194" w14:textId="77777777" w:rsidR="00493D34" w:rsidRDefault="00493D34" w:rsidP="00493D34">
            <w:pPr>
              <w:pStyle w:val="TableText"/>
            </w:pPr>
          </w:p>
        </w:tc>
        <w:tc>
          <w:tcPr>
            <w:tcW w:w="624" w:type="dxa"/>
          </w:tcPr>
          <w:p w14:paraId="08684EA8" w14:textId="77777777" w:rsidR="00493D34" w:rsidRDefault="00493D34">
            <w:pPr>
              <w:pStyle w:val="TableText"/>
            </w:pPr>
          </w:p>
        </w:tc>
        <w:tc>
          <w:tcPr>
            <w:tcW w:w="6523" w:type="dxa"/>
            <w:gridSpan w:val="6"/>
          </w:tcPr>
          <w:p w14:paraId="249E25E0" w14:textId="015E1781" w:rsidR="00493D34" w:rsidRPr="00DA31BF" w:rsidRDefault="00493D34" w:rsidP="00493D34">
            <w:pPr>
              <w:pStyle w:val="TableBlock"/>
              <w:rPr>
                <w:rtl/>
              </w:rPr>
            </w:pPr>
            <w:r>
              <w:rPr>
                <w:rtl/>
              </w:rPr>
              <w:t>""חדירה לחומר מחשב", "חומר מחשב", "מחשב"  – כהגדרתם בסעיפים 1 ו-4 לחוק המחשבים, התשנ"ה-1995";</w:t>
            </w:r>
          </w:p>
        </w:tc>
      </w:tr>
      <w:tr w:rsidR="00493D34" w14:paraId="410470D4" w14:textId="77777777" w:rsidTr="004E6068">
        <w:trPr>
          <w:cantSplit/>
          <w:trHeight w:val="60"/>
        </w:trPr>
        <w:tc>
          <w:tcPr>
            <w:tcW w:w="1870" w:type="dxa"/>
          </w:tcPr>
          <w:p w14:paraId="2FF167F0" w14:textId="77777777" w:rsidR="00493D34" w:rsidRDefault="00493D34">
            <w:pPr>
              <w:pStyle w:val="TableSideHeading"/>
            </w:pPr>
          </w:p>
        </w:tc>
        <w:tc>
          <w:tcPr>
            <w:tcW w:w="624" w:type="dxa"/>
          </w:tcPr>
          <w:p w14:paraId="5B2D24B9" w14:textId="77777777" w:rsidR="00493D34" w:rsidRDefault="00493D34" w:rsidP="00493D34">
            <w:pPr>
              <w:pStyle w:val="TableText"/>
            </w:pPr>
          </w:p>
        </w:tc>
        <w:tc>
          <w:tcPr>
            <w:tcW w:w="624" w:type="dxa"/>
          </w:tcPr>
          <w:p w14:paraId="6DE6B26F" w14:textId="77777777" w:rsidR="00493D34" w:rsidRDefault="00493D34">
            <w:pPr>
              <w:pStyle w:val="TableText"/>
            </w:pPr>
          </w:p>
        </w:tc>
        <w:tc>
          <w:tcPr>
            <w:tcW w:w="6523" w:type="dxa"/>
            <w:gridSpan w:val="6"/>
          </w:tcPr>
          <w:p w14:paraId="46583560" w14:textId="15DA0086" w:rsidR="00493D34" w:rsidRDefault="00493D34" w:rsidP="00493D34">
            <w:pPr>
              <w:pStyle w:val="TableBlock"/>
              <w:rPr>
                <w:rtl/>
              </w:rPr>
            </w:pPr>
            <w:r>
              <w:rPr>
                <w:rtl/>
              </w:rPr>
              <w:t>""חוק האזנת סתר" – חוק האזנת סתר, התשל"ט-1979</w:t>
            </w:r>
            <w:r w:rsidRPr="00493D34">
              <w:rPr>
                <w:rStyle w:val="a7"/>
                <w:rtl/>
              </w:rPr>
              <w:footnoteReference w:id="3"/>
            </w:r>
            <w:r>
              <w:rPr>
                <w:rtl/>
              </w:rPr>
              <w:t>";</w:t>
            </w:r>
          </w:p>
        </w:tc>
      </w:tr>
      <w:tr w:rsidR="00493D34" w14:paraId="439B8888" w14:textId="77777777" w:rsidTr="004E6068">
        <w:trPr>
          <w:cantSplit/>
          <w:trHeight w:val="60"/>
        </w:trPr>
        <w:tc>
          <w:tcPr>
            <w:tcW w:w="1870" w:type="dxa"/>
          </w:tcPr>
          <w:p w14:paraId="59C390BA" w14:textId="77777777" w:rsidR="00493D34" w:rsidRDefault="00493D34">
            <w:pPr>
              <w:pStyle w:val="TableSideHeading"/>
            </w:pPr>
          </w:p>
        </w:tc>
        <w:tc>
          <w:tcPr>
            <w:tcW w:w="624" w:type="dxa"/>
          </w:tcPr>
          <w:p w14:paraId="3E940B95" w14:textId="77777777" w:rsidR="00493D34" w:rsidRDefault="00493D34" w:rsidP="00493D34">
            <w:pPr>
              <w:pStyle w:val="TableText"/>
            </w:pPr>
          </w:p>
        </w:tc>
        <w:tc>
          <w:tcPr>
            <w:tcW w:w="624" w:type="dxa"/>
          </w:tcPr>
          <w:p w14:paraId="508D2F11" w14:textId="77777777" w:rsidR="00493D34" w:rsidRDefault="00493D34">
            <w:pPr>
              <w:pStyle w:val="TableText"/>
            </w:pPr>
          </w:p>
        </w:tc>
        <w:tc>
          <w:tcPr>
            <w:tcW w:w="6523" w:type="dxa"/>
            <w:gridSpan w:val="6"/>
          </w:tcPr>
          <w:p w14:paraId="53537425" w14:textId="75CC23D9" w:rsidR="00493D34" w:rsidRDefault="00493D34" w:rsidP="00493D34">
            <w:pPr>
              <w:pStyle w:val="TableBlock"/>
              <w:rPr>
                <w:rtl/>
              </w:rPr>
            </w:pPr>
            <w:r>
              <w:rPr>
                <w:rtl/>
              </w:rPr>
              <w:t>""חוק הגנת הפרטיות - חוק הגנת הפרטיות, התשמ"א-1981</w:t>
            </w:r>
            <w:r w:rsidRPr="00493D34">
              <w:rPr>
                <w:rStyle w:val="a7"/>
                <w:rtl/>
              </w:rPr>
              <w:footnoteReference w:id="4"/>
            </w:r>
            <w:r>
              <w:rPr>
                <w:rtl/>
              </w:rPr>
              <w:t>";</w:t>
            </w:r>
          </w:p>
        </w:tc>
      </w:tr>
      <w:tr w:rsidR="00DA31BF" w14:paraId="06927BB8" w14:textId="77777777" w:rsidTr="004E6068">
        <w:trPr>
          <w:cantSplit/>
          <w:trHeight w:val="60"/>
        </w:trPr>
        <w:tc>
          <w:tcPr>
            <w:tcW w:w="1870" w:type="dxa"/>
          </w:tcPr>
          <w:p w14:paraId="1612A1DF" w14:textId="77777777" w:rsidR="00DA31BF" w:rsidRDefault="00DA31BF">
            <w:pPr>
              <w:pStyle w:val="TableSideHeading"/>
            </w:pPr>
          </w:p>
        </w:tc>
        <w:tc>
          <w:tcPr>
            <w:tcW w:w="624" w:type="dxa"/>
          </w:tcPr>
          <w:p w14:paraId="63D8B88F" w14:textId="77777777" w:rsidR="00DA31BF" w:rsidRDefault="00DA31BF" w:rsidP="00DA31BF">
            <w:pPr>
              <w:pStyle w:val="TableText"/>
            </w:pPr>
          </w:p>
        </w:tc>
        <w:tc>
          <w:tcPr>
            <w:tcW w:w="624" w:type="dxa"/>
          </w:tcPr>
          <w:p w14:paraId="0C2D29E8" w14:textId="77777777" w:rsidR="00DA31BF" w:rsidRDefault="00DA31BF">
            <w:pPr>
              <w:pStyle w:val="TableText"/>
            </w:pPr>
          </w:p>
        </w:tc>
        <w:tc>
          <w:tcPr>
            <w:tcW w:w="6523" w:type="dxa"/>
            <w:gridSpan w:val="6"/>
          </w:tcPr>
          <w:p w14:paraId="3BAD6899" w14:textId="6E304DBE" w:rsidR="00DA31BF" w:rsidRPr="00DA31BF" w:rsidRDefault="00DA31BF" w:rsidP="00DA31BF">
            <w:pPr>
              <w:pStyle w:val="TableBlock"/>
              <w:tabs>
                <w:tab w:val="clear" w:pos="624"/>
                <w:tab w:val="clear" w:pos="1247"/>
              </w:tabs>
              <w:rPr>
                <w:rtl/>
              </w:rPr>
            </w:pPr>
            <w:r>
              <w:rPr>
                <w:rtl/>
              </w:rPr>
              <w:t>""מאגר מידע" – כל המידע השמור במאגר מידע כמשמעו בחוק הגנת הפרטיות".</w:t>
            </w:r>
          </w:p>
        </w:tc>
      </w:tr>
      <w:tr w:rsidR="00DA31BF" w14:paraId="29AE26D1" w14:textId="77777777" w:rsidTr="004E6068">
        <w:trPr>
          <w:cantSplit/>
          <w:trHeight w:val="60"/>
        </w:trPr>
        <w:tc>
          <w:tcPr>
            <w:tcW w:w="1870" w:type="dxa"/>
          </w:tcPr>
          <w:p w14:paraId="4E2356F4" w14:textId="745D332B" w:rsidR="00DA31BF" w:rsidRDefault="00DA31BF">
            <w:pPr>
              <w:pStyle w:val="TableSideHeading"/>
            </w:pPr>
            <w:r>
              <w:rPr>
                <w:rFonts w:hint="cs"/>
                <w:rtl/>
              </w:rPr>
              <w:t>תיקון סעיף 7</w:t>
            </w:r>
          </w:p>
        </w:tc>
        <w:tc>
          <w:tcPr>
            <w:tcW w:w="624" w:type="dxa"/>
          </w:tcPr>
          <w:p w14:paraId="3CCB9BE4" w14:textId="0C918B82" w:rsidR="00DA31BF" w:rsidRDefault="00DA31BF">
            <w:pPr>
              <w:pStyle w:val="TableText"/>
            </w:pPr>
            <w:r>
              <w:rPr>
                <w:rFonts w:hint="cs"/>
                <w:rtl/>
              </w:rPr>
              <w:t>2.</w:t>
            </w:r>
          </w:p>
        </w:tc>
        <w:tc>
          <w:tcPr>
            <w:tcW w:w="7147" w:type="dxa"/>
            <w:gridSpan w:val="7"/>
          </w:tcPr>
          <w:p w14:paraId="6A285E14" w14:textId="1217A214" w:rsidR="00DA31BF" w:rsidRPr="00C34DE2" w:rsidRDefault="00DA31BF">
            <w:pPr>
              <w:pStyle w:val="TableBlock"/>
            </w:pPr>
            <w:r>
              <w:rPr>
                <w:rFonts w:hint="cs"/>
                <w:rtl/>
              </w:rPr>
              <w:t xml:space="preserve">בסעיף </w:t>
            </w:r>
            <w:r w:rsidR="00493D34">
              <w:rPr>
                <w:rFonts w:hint="cs"/>
                <w:rtl/>
              </w:rPr>
              <w:t xml:space="preserve">7(ב) לחוק העיקרי </w:t>
            </w:r>
            <w:r w:rsidR="00493D34">
              <w:rPr>
                <w:rtl/>
              </w:rPr>
              <w:t>–</w:t>
            </w:r>
            <w:r w:rsidR="00493D34">
              <w:rPr>
                <w:rFonts w:hint="cs"/>
                <w:rtl/>
              </w:rPr>
              <w:t xml:space="preserve"> </w:t>
            </w:r>
          </w:p>
        </w:tc>
      </w:tr>
      <w:tr w:rsidR="00493D34" w14:paraId="1D0FB00F" w14:textId="77777777" w:rsidTr="004E6068">
        <w:trPr>
          <w:cantSplit/>
          <w:trHeight w:val="60"/>
        </w:trPr>
        <w:tc>
          <w:tcPr>
            <w:tcW w:w="1870" w:type="dxa"/>
          </w:tcPr>
          <w:p w14:paraId="62D3DD54" w14:textId="77777777" w:rsidR="00493D34" w:rsidRDefault="00493D34">
            <w:pPr>
              <w:pStyle w:val="TableSideHeading"/>
            </w:pPr>
          </w:p>
        </w:tc>
        <w:tc>
          <w:tcPr>
            <w:tcW w:w="624" w:type="dxa"/>
          </w:tcPr>
          <w:p w14:paraId="74DEDBF8" w14:textId="77777777" w:rsidR="00493D34" w:rsidRDefault="00493D34">
            <w:pPr>
              <w:pStyle w:val="TableText"/>
            </w:pPr>
          </w:p>
        </w:tc>
        <w:tc>
          <w:tcPr>
            <w:tcW w:w="624" w:type="dxa"/>
          </w:tcPr>
          <w:p w14:paraId="24A9ADFC" w14:textId="77777777" w:rsidR="00493D34" w:rsidRDefault="00493D34">
            <w:pPr>
              <w:pStyle w:val="TableText"/>
            </w:pPr>
          </w:p>
        </w:tc>
        <w:tc>
          <w:tcPr>
            <w:tcW w:w="6523" w:type="dxa"/>
            <w:gridSpan w:val="6"/>
          </w:tcPr>
          <w:p w14:paraId="1C845DD0" w14:textId="7BE6D97D" w:rsidR="00493D34" w:rsidRDefault="00493D34">
            <w:pPr>
              <w:pStyle w:val="TableBlock"/>
            </w:pPr>
            <w:r>
              <w:rPr>
                <w:rFonts w:hint="cs"/>
                <w:rtl/>
              </w:rPr>
              <w:t>במקום פסקה (3) יבוא:</w:t>
            </w:r>
          </w:p>
        </w:tc>
      </w:tr>
      <w:tr w:rsidR="00493D34" w14:paraId="59E4CE68" w14:textId="77777777" w:rsidTr="004E6068">
        <w:trPr>
          <w:cantSplit/>
          <w:trHeight w:val="60"/>
        </w:trPr>
        <w:tc>
          <w:tcPr>
            <w:tcW w:w="1870" w:type="dxa"/>
          </w:tcPr>
          <w:p w14:paraId="720CB82B" w14:textId="77777777" w:rsidR="00493D34" w:rsidRDefault="00493D34">
            <w:pPr>
              <w:pStyle w:val="TableSideHeading"/>
            </w:pPr>
          </w:p>
        </w:tc>
        <w:tc>
          <w:tcPr>
            <w:tcW w:w="624" w:type="dxa"/>
          </w:tcPr>
          <w:p w14:paraId="6D023225" w14:textId="77777777" w:rsidR="00493D34" w:rsidRDefault="00493D34" w:rsidP="00493D34">
            <w:pPr>
              <w:pStyle w:val="TableText"/>
            </w:pPr>
          </w:p>
        </w:tc>
        <w:tc>
          <w:tcPr>
            <w:tcW w:w="624" w:type="dxa"/>
          </w:tcPr>
          <w:p w14:paraId="084A9E45" w14:textId="77777777" w:rsidR="00493D34" w:rsidRDefault="00493D34">
            <w:pPr>
              <w:pStyle w:val="TableText"/>
            </w:pPr>
          </w:p>
        </w:tc>
        <w:tc>
          <w:tcPr>
            <w:tcW w:w="6523" w:type="dxa"/>
            <w:gridSpan w:val="6"/>
          </w:tcPr>
          <w:p w14:paraId="31A6750A" w14:textId="0D109752" w:rsidR="00493D34" w:rsidRDefault="00493D34">
            <w:pPr>
              <w:pStyle w:val="TableBlock"/>
              <w:rPr>
                <w:rtl/>
              </w:rPr>
            </w:pPr>
            <w:r>
              <w:rPr>
                <w:rFonts w:hint="cs"/>
                <w:rtl/>
              </w:rPr>
              <w:t>"</w:t>
            </w:r>
            <w:r w:rsidRPr="00B27968">
              <w:rPr>
                <w:rtl/>
              </w:rPr>
              <w:t>קביעת הוראות בדבר סיווג ביטחוני לתפקידים ולמשרות וכן קביעה של התאמה ביטחונית של אדם לתפקיד או למשרה שסווגו בסיווג ביטחוני, לרבות על ידי שימוש בבדיקות פוליגרף, והכל כפי שייקבע בחוק ובכללים;</w:t>
            </w:r>
            <w:r>
              <w:rPr>
                <w:rFonts w:hint="cs"/>
                <w:rtl/>
              </w:rPr>
              <w:t>".</w:t>
            </w:r>
          </w:p>
        </w:tc>
      </w:tr>
      <w:tr w:rsidR="00DA31BF" w14:paraId="65CE813C" w14:textId="77777777" w:rsidTr="004E6068">
        <w:trPr>
          <w:cantSplit/>
          <w:trHeight w:val="60"/>
        </w:trPr>
        <w:tc>
          <w:tcPr>
            <w:tcW w:w="1870" w:type="dxa"/>
          </w:tcPr>
          <w:p w14:paraId="75957075" w14:textId="28D937C8" w:rsidR="00DA31BF" w:rsidRDefault="00493D34">
            <w:pPr>
              <w:pStyle w:val="TableSideHeading"/>
              <w:rPr>
                <w:rtl/>
              </w:rPr>
            </w:pPr>
            <w:r>
              <w:rPr>
                <w:rFonts w:hint="cs"/>
                <w:rtl/>
              </w:rPr>
              <w:t>תיקון סעיף 8</w:t>
            </w:r>
          </w:p>
        </w:tc>
        <w:tc>
          <w:tcPr>
            <w:tcW w:w="624" w:type="dxa"/>
          </w:tcPr>
          <w:p w14:paraId="01083A82" w14:textId="48CE6EB0" w:rsidR="00DA31BF" w:rsidRDefault="00493D34" w:rsidP="00DA31BF">
            <w:pPr>
              <w:pStyle w:val="TableText"/>
              <w:rPr>
                <w:rtl/>
              </w:rPr>
            </w:pPr>
            <w:r>
              <w:rPr>
                <w:rFonts w:hint="cs"/>
                <w:rtl/>
              </w:rPr>
              <w:t>3.</w:t>
            </w:r>
          </w:p>
        </w:tc>
        <w:tc>
          <w:tcPr>
            <w:tcW w:w="7147" w:type="dxa"/>
            <w:gridSpan w:val="7"/>
          </w:tcPr>
          <w:p w14:paraId="33B94666" w14:textId="7640D595" w:rsidR="00DA31BF" w:rsidRDefault="00493D34" w:rsidP="00493D34">
            <w:pPr>
              <w:pStyle w:val="TableBlock"/>
              <w:rPr>
                <w:rtl/>
              </w:rPr>
            </w:pPr>
            <w:r>
              <w:rPr>
                <w:rFonts w:hint="cs"/>
                <w:rtl/>
              </w:rPr>
              <w:t xml:space="preserve">בסעיף 8(א) לחוק העיקרי </w:t>
            </w:r>
            <w:r>
              <w:rPr>
                <w:rtl/>
              </w:rPr>
              <w:t>–</w:t>
            </w:r>
            <w:r>
              <w:rPr>
                <w:rFonts w:hint="cs"/>
                <w:rtl/>
              </w:rPr>
              <w:t xml:space="preserve"> </w:t>
            </w:r>
          </w:p>
        </w:tc>
      </w:tr>
      <w:tr w:rsidR="00493D34" w14:paraId="74B2EFFE" w14:textId="77777777" w:rsidTr="004E6068">
        <w:trPr>
          <w:cantSplit/>
          <w:trHeight w:val="60"/>
        </w:trPr>
        <w:tc>
          <w:tcPr>
            <w:tcW w:w="1870" w:type="dxa"/>
          </w:tcPr>
          <w:p w14:paraId="304EA97E" w14:textId="77777777" w:rsidR="00493D34" w:rsidRDefault="00493D34">
            <w:pPr>
              <w:pStyle w:val="TableSideHeading"/>
            </w:pPr>
          </w:p>
        </w:tc>
        <w:tc>
          <w:tcPr>
            <w:tcW w:w="624" w:type="dxa"/>
          </w:tcPr>
          <w:p w14:paraId="54C9240F" w14:textId="77777777" w:rsidR="00493D34" w:rsidRDefault="00493D34">
            <w:pPr>
              <w:pStyle w:val="TableText"/>
            </w:pPr>
          </w:p>
        </w:tc>
        <w:tc>
          <w:tcPr>
            <w:tcW w:w="624" w:type="dxa"/>
          </w:tcPr>
          <w:p w14:paraId="437932C2" w14:textId="77777777" w:rsidR="00493D34" w:rsidRDefault="00493D34" w:rsidP="00F44C09">
            <w:pPr>
              <w:pStyle w:val="TableText"/>
              <w:numPr>
                <w:ilvl w:val="0"/>
                <w:numId w:val="4"/>
              </w:numPr>
              <w:tabs>
                <w:tab w:val="left" w:pos="624"/>
              </w:tabs>
              <w:jc w:val="both"/>
            </w:pPr>
          </w:p>
        </w:tc>
        <w:tc>
          <w:tcPr>
            <w:tcW w:w="6523" w:type="dxa"/>
            <w:gridSpan w:val="6"/>
          </w:tcPr>
          <w:p w14:paraId="1B9D181E" w14:textId="3666DB6E" w:rsidR="00493D34" w:rsidRDefault="00493D34">
            <w:pPr>
              <w:pStyle w:val="TableBlock"/>
            </w:pPr>
            <w:r>
              <w:rPr>
                <w:rFonts w:hint="cs"/>
                <w:rtl/>
              </w:rPr>
              <w:t>בפסקה (1), אחרי "לקבל ולאסוף מידע" יבוא:</w:t>
            </w:r>
          </w:p>
        </w:tc>
      </w:tr>
      <w:tr w:rsidR="00493D34" w14:paraId="25229A54" w14:textId="77777777" w:rsidTr="004E6068">
        <w:trPr>
          <w:cantSplit/>
          <w:trHeight w:val="60"/>
        </w:trPr>
        <w:tc>
          <w:tcPr>
            <w:tcW w:w="1870" w:type="dxa"/>
          </w:tcPr>
          <w:p w14:paraId="6070DEEA" w14:textId="77777777" w:rsidR="00493D34" w:rsidRDefault="00493D34">
            <w:pPr>
              <w:pStyle w:val="TableSideHeading"/>
            </w:pPr>
          </w:p>
        </w:tc>
        <w:tc>
          <w:tcPr>
            <w:tcW w:w="624" w:type="dxa"/>
          </w:tcPr>
          <w:p w14:paraId="6524A381" w14:textId="77777777" w:rsidR="00493D34" w:rsidRDefault="00493D34" w:rsidP="00493D34">
            <w:pPr>
              <w:pStyle w:val="TableText"/>
            </w:pPr>
          </w:p>
        </w:tc>
        <w:tc>
          <w:tcPr>
            <w:tcW w:w="624" w:type="dxa"/>
          </w:tcPr>
          <w:p w14:paraId="49A1664D" w14:textId="77777777" w:rsidR="00493D34" w:rsidRDefault="00493D34" w:rsidP="00493D34">
            <w:pPr>
              <w:pStyle w:val="TableText"/>
              <w:tabs>
                <w:tab w:val="clear" w:pos="624"/>
              </w:tabs>
              <w:jc w:val="both"/>
            </w:pPr>
          </w:p>
        </w:tc>
        <w:tc>
          <w:tcPr>
            <w:tcW w:w="6523" w:type="dxa"/>
            <w:gridSpan w:val="6"/>
          </w:tcPr>
          <w:p w14:paraId="4FDE7B07" w14:textId="0BDAA5B8" w:rsidR="00493D34" w:rsidRDefault="00493D34">
            <w:pPr>
              <w:pStyle w:val="TableBlock"/>
              <w:rPr>
                <w:rtl/>
              </w:rPr>
            </w:pPr>
            <w:r>
              <w:rPr>
                <w:rFonts w:hint="cs"/>
                <w:rtl/>
              </w:rPr>
              <w:t>"</w:t>
            </w:r>
            <w:r w:rsidRPr="00AB3DDB">
              <w:rPr>
                <w:rtl/>
              </w:rPr>
              <w:t>ולעניין מאגר מידע שאפשרות קבלתו לא הוסדרה בדין אחר – בהתאם להוראות סעיף 8א</w:t>
            </w:r>
            <w:r>
              <w:rPr>
                <w:rFonts w:hint="cs"/>
                <w:rtl/>
              </w:rPr>
              <w:t>;"</w:t>
            </w:r>
          </w:p>
        </w:tc>
      </w:tr>
      <w:tr w:rsidR="00493D34" w14:paraId="1685B8D7" w14:textId="77777777" w:rsidTr="004E6068">
        <w:trPr>
          <w:cantSplit/>
          <w:trHeight w:val="60"/>
        </w:trPr>
        <w:tc>
          <w:tcPr>
            <w:tcW w:w="1870" w:type="dxa"/>
          </w:tcPr>
          <w:p w14:paraId="3B02865A" w14:textId="77777777" w:rsidR="00493D34" w:rsidRDefault="00493D34">
            <w:pPr>
              <w:pStyle w:val="TableSideHeading"/>
            </w:pPr>
          </w:p>
        </w:tc>
        <w:tc>
          <w:tcPr>
            <w:tcW w:w="624" w:type="dxa"/>
          </w:tcPr>
          <w:p w14:paraId="6AE90FEC" w14:textId="77777777" w:rsidR="00493D34" w:rsidRDefault="00493D34" w:rsidP="00493D34">
            <w:pPr>
              <w:pStyle w:val="TableText"/>
            </w:pPr>
          </w:p>
        </w:tc>
        <w:tc>
          <w:tcPr>
            <w:tcW w:w="624" w:type="dxa"/>
          </w:tcPr>
          <w:p w14:paraId="0A14B9CA" w14:textId="77777777" w:rsidR="00493D34" w:rsidRDefault="00493D34" w:rsidP="00F44C09">
            <w:pPr>
              <w:pStyle w:val="TableText"/>
              <w:numPr>
                <w:ilvl w:val="0"/>
                <w:numId w:val="4"/>
              </w:numPr>
              <w:tabs>
                <w:tab w:val="left" w:pos="624"/>
              </w:tabs>
              <w:jc w:val="both"/>
            </w:pPr>
          </w:p>
        </w:tc>
        <w:tc>
          <w:tcPr>
            <w:tcW w:w="6523" w:type="dxa"/>
            <w:gridSpan w:val="6"/>
          </w:tcPr>
          <w:p w14:paraId="582820F8" w14:textId="4248E9BD" w:rsidR="00493D34" w:rsidRDefault="00493D34">
            <w:pPr>
              <w:pStyle w:val="TableBlock"/>
              <w:rPr>
                <w:rtl/>
              </w:rPr>
            </w:pPr>
            <w:r>
              <w:rPr>
                <w:rFonts w:hint="cs"/>
                <w:rtl/>
              </w:rPr>
              <w:t>בפסקה (2), אחרי "בכפוף להוראות כל דין" יבוא:</w:t>
            </w:r>
          </w:p>
        </w:tc>
      </w:tr>
      <w:tr w:rsidR="00493D34" w14:paraId="22E1C202" w14:textId="77777777" w:rsidTr="004E6068">
        <w:trPr>
          <w:cantSplit/>
          <w:trHeight w:val="60"/>
        </w:trPr>
        <w:tc>
          <w:tcPr>
            <w:tcW w:w="1870" w:type="dxa"/>
          </w:tcPr>
          <w:p w14:paraId="5313DF13" w14:textId="77777777" w:rsidR="00493D34" w:rsidRDefault="00493D34">
            <w:pPr>
              <w:pStyle w:val="TableSideHeading"/>
            </w:pPr>
          </w:p>
        </w:tc>
        <w:tc>
          <w:tcPr>
            <w:tcW w:w="624" w:type="dxa"/>
          </w:tcPr>
          <w:p w14:paraId="3C61AD80" w14:textId="77777777" w:rsidR="00493D34" w:rsidRDefault="00493D34" w:rsidP="00493D34">
            <w:pPr>
              <w:pStyle w:val="TableText"/>
            </w:pPr>
          </w:p>
        </w:tc>
        <w:tc>
          <w:tcPr>
            <w:tcW w:w="624" w:type="dxa"/>
          </w:tcPr>
          <w:p w14:paraId="0A49D9ED" w14:textId="77777777" w:rsidR="00493D34" w:rsidRDefault="00493D34" w:rsidP="00493D34">
            <w:pPr>
              <w:pStyle w:val="TableText"/>
              <w:tabs>
                <w:tab w:val="clear" w:pos="624"/>
              </w:tabs>
              <w:jc w:val="both"/>
            </w:pPr>
          </w:p>
        </w:tc>
        <w:tc>
          <w:tcPr>
            <w:tcW w:w="6523" w:type="dxa"/>
            <w:gridSpan w:val="6"/>
          </w:tcPr>
          <w:p w14:paraId="4E3A0514" w14:textId="1D3D4690" w:rsidR="00493D34" w:rsidRDefault="00493D34">
            <w:pPr>
              <w:pStyle w:val="TableBlock"/>
              <w:rPr>
                <w:rtl/>
              </w:rPr>
            </w:pPr>
            <w:r>
              <w:rPr>
                <w:rFonts w:hint="cs"/>
                <w:rtl/>
              </w:rPr>
              <w:t>"</w:t>
            </w:r>
            <w:r w:rsidRPr="00AB3DDB">
              <w:rPr>
                <w:rtl/>
              </w:rPr>
              <w:t>ולעניין מאגר מידע – בהתאם להוראות סעיף 8ב</w:t>
            </w:r>
            <w:r>
              <w:rPr>
                <w:rFonts w:hint="cs"/>
                <w:rtl/>
              </w:rPr>
              <w:t>;"</w:t>
            </w:r>
          </w:p>
        </w:tc>
      </w:tr>
      <w:tr w:rsidR="000A71B4" w14:paraId="613F961D" w14:textId="77777777" w:rsidTr="004E6068">
        <w:trPr>
          <w:cantSplit/>
          <w:trHeight w:val="60"/>
        </w:trPr>
        <w:tc>
          <w:tcPr>
            <w:tcW w:w="1870" w:type="dxa"/>
          </w:tcPr>
          <w:p w14:paraId="5CB9290C" w14:textId="3C954C78" w:rsidR="000A71B4" w:rsidRPr="000A71B4" w:rsidRDefault="000A71B4" w:rsidP="007E751D">
            <w:pPr>
              <w:pStyle w:val="TableSideHeading"/>
              <w:keepLines w:val="0"/>
            </w:pPr>
            <w:r>
              <w:rPr>
                <w:rFonts w:hint="cs"/>
                <w:rtl/>
              </w:rPr>
              <w:t>הוספת סעיף 8א</w:t>
            </w:r>
          </w:p>
        </w:tc>
        <w:tc>
          <w:tcPr>
            <w:tcW w:w="624" w:type="dxa"/>
          </w:tcPr>
          <w:p w14:paraId="4668A1AD" w14:textId="1E56FA86" w:rsidR="000A71B4" w:rsidRDefault="000A71B4" w:rsidP="000A71B4">
            <w:pPr>
              <w:pStyle w:val="TableText"/>
              <w:keepLines w:val="0"/>
            </w:pPr>
            <w:r>
              <w:rPr>
                <w:rFonts w:hint="cs"/>
                <w:rtl/>
              </w:rPr>
              <w:t xml:space="preserve">4. </w:t>
            </w:r>
          </w:p>
        </w:tc>
        <w:tc>
          <w:tcPr>
            <w:tcW w:w="7147" w:type="dxa"/>
            <w:gridSpan w:val="7"/>
          </w:tcPr>
          <w:p w14:paraId="370F4E67" w14:textId="00003182" w:rsidR="000A71B4" w:rsidRPr="00C34DE2" w:rsidRDefault="00BB5940" w:rsidP="007E751D">
            <w:pPr>
              <w:pStyle w:val="TableBlock"/>
              <w:keepLines w:val="0"/>
            </w:pPr>
            <w:r>
              <w:rPr>
                <w:rFonts w:hint="cs"/>
                <w:rtl/>
              </w:rPr>
              <w:t>אחרי סעיף 8 לחוק העיקרי יבוא:</w:t>
            </w:r>
          </w:p>
        </w:tc>
      </w:tr>
      <w:tr w:rsidR="004E6068" w14:paraId="5BF32FD0" w14:textId="77777777" w:rsidTr="004E6068">
        <w:trPr>
          <w:cantSplit/>
          <w:trHeight w:val="60"/>
        </w:trPr>
        <w:tc>
          <w:tcPr>
            <w:tcW w:w="1870" w:type="dxa"/>
          </w:tcPr>
          <w:p w14:paraId="5A7A29B0" w14:textId="77777777" w:rsidR="004E6068" w:rsidRDefault="004E6068">
            <w:pPr>
              <w:pStyle w:val="TableSideHeading"/>
            </w:pPr>
          </w:p>
        </w:tc>
        <w:tc>
          <w:tcPr>
            <w:tcW w:w="624" w:type="dxa"/>
          </w:tcPr>
          <w:p w14:paraId="1B9E3615" w14:textId="77777777" w:rsidR="004E6068" w:rsidRDefault="004E6068">
            <w:pPr>
              <w:pStyle w:val="TableText"/>
            </w:pPr>
          </w:p>
        </w:tc>
        <w:tc>
          <w:tcPr>
            <w:tcW w:w="1872" w:type="dxa"/>
            <w:gridSpan w:val="3"/>
          </w:tcPr>
          <w:p w14:paraId="1C09BC8D" w14:textId="4E6CEFB7" w:rsidR="004E6068" w:rsidRDefault="004E6068">
            <w:pPr>
              <w:pStyle w:val="TableText"/>
            </w:pPr>
            <w:r>
              <w:rPr>
                <w:rFonts w:hint="cs"/>
                <w:rtl/>
              </w:rPr>
              <w:t>"קבלה ואיסוף של מאגרי מידע ושימוש בהם"</w:t>
            </w:r>
          </w:p>
        </w:tc>
        <w:tc>
          <w:tcPr>
            <w:tcW w:w="624" w:type="dxa"/>
          </w:tcPr>
          <w:p w14:paraId="3C9323EC" w14:textId="7015555D" w:rsidR="004E6068" w:rsidRDefault="001A4BDA">
            <w:pPr>
              <w:pStyle w:val="TableText"/>
            </w:pPr>
            <w:r>
              <w:rPr>
                <w:rFonts w:hint="cs"/>
                <w:rtl/>
              </w:rPr>
              <w:t xml:space="preserve">8א </w:t>
            </w:r>
          </w:p>
        </w:tc>
        <w:tc>
          <w:tcPr>
            <w:tcW w:w="624" w:type="dxa"/>
          </w:tcPr>
          <w:p w14:paraId="73D5DF23" w14:textId="77777777" w:rsidR="004E6068" w:rsidRDefault="004E6068" w:rsidP="00F44C09">
            <w:pPr>
              <w:pStyle w:val="TableText"/>
              <w:numPr>
                <w:ilvl w:val="0"/>
                <w:numId w:val="6"/>
              </w:numPr>
              <w:tabs>
                <w:tab w:val="left" w:pos="624"/>
              </w:tabs>
              <w:jc w:val="both"/>
            </w:pPr>
          </w:p>
        </w:tc>
        <w:tc>
          <w:tcPr>
            <w:tcW w:w="4027" w:type="dxa"/>
            <w:gridSpan w:val="2"/>
          </w:tcPr>
          <w:p w14:paraId="6EDE29B6" w14:textId="009E2F30" w:rsidR="004E6068" w:rsidRDefault="004E6068">
            <w:pPr>
              <w:pStyle w:val="TableBlock"/>
            </w:pPr>
            <w:r>
              <w:rPr>
                <w:rFonts w:hint="cs"/>
                <w:rtl/>
              </w:rPr>
              <w:t xml:space="preserve">בסעיף זה </w:t>
            </w:r>
            <w:r>
              <w:rPr>
                <w:rtl/>
              </w:rPr>
              <w:t>–</w:t>
            </w:r>
            <w:r>
              <w:rPr>
                <w:rFonts w:hint="cs"/>
                <w:rtl/>
              </w:rPr>
              <w:t xml:space="preserve"> </w:t>
            </w:r>
          </w:p>
        </w:tc>
      </w:tr>
      <w:tr w:rsidR="00BB5940" w14:paraId="323AC62E" w14:textId="77777777" w:rsidTr="004E6068">
        <w:trPr>
          <w:cantSplit/>
          <w:trHeight w:val="60"/>
        </w:trPr>
        <w:tc>
          <w:tcPr>
            <w:tcW w:w="1870" w:type="dxa"/>
          </w:tcPr>
          <w:p w14:paraId="502E7C98" w14:textId="77777777" w:rsidR="00BB5940" w:rsidRDefault="00BB5940">
            <w:pPr>
              <w:pStyle w:val="TableSideHeading"/>
            </w:pPr>
          </w:p>
        </w:tc>
        <w:tc>
          <w:tcPr>
            <w:tcW w:w="624" w:type="dxa"/>
          </w:tcPr>
          <w:p w14:paraId="226EBC1F" w14:textId="77777777" w:rsidR="00BB5940" w:rsidRDefault="00BB5940" w:rsidP="00BB5940">
            <w:pPr>
              <w:pStyle w:val="TableText"/>
            </w:pPr>
          </w:p>
        </w:tc>
        <w:tc>
          <w:tcPr>
            <w:tcW w:w="624" w:type="dxa"/>
          </w:tcPr>
          <w:p w14:paraId="0D33B021" w14:textId="77777777" w:rsidR="00BB5940" w:rsidRDefault="00BB5940">
            <w:pPr>
              <w:pStyle w:val="TableText"/>
            </w:pPr>
          </w:p>
        </w:tc>
        <w:tc>
          <w:tcPr>
            <w:tcW w:w="624" w:type="dxa"/>
          </w:tcPr>
          <w:p w14:paraId="12F8A4AD" w14:textId="77777777" w:rsidR="00BB5940" w:rsidRDefault="00BB5940">
            <w:pPr>
              <w:pStyle w:val="TableText"/>
            </w:pPr>
          </w:p>
        </w:tc>
        <w:tc>
          <w:tcPr>
            <w:tcW w:w="624" w:type="dxa"/>
          </w:tcPr>
          <w:p w14:paraId="67D24DA6" w14:textId="77777777" w:rsidR="00BB5940" w:rsidRDefault="00BB5940">
            <w:pPr>
              <w:pStyle w:val="TableText"/>
            </w:pPr>
          </w:p>
        </w:tc>
        <w:tc>
          <w:tcPr>
            <w:tcW w:w="624" w:type="dxa"/>
          </w:tcPr>
          <w:p w14:paraId="09F9BA1E" w14:textId="77777777" w:rsidR="00BB5940" w:rsidRDefault="00BB5940">
            <w:pPr>
              <w:pStyle w:val="TableText"/>
            </w:pPr>
          </w:p>
        </w:tc>
        <w:tc>
          <w:tcPr>
            <w:tcW w:w="624" w:type="dxa"/>
          </w:tcPr>
          <w:p w14:paraId="4C65B816" w14:textId="77777777" w:rsidR="00BB5940" w:rsidRDefault="00BB5940">
            <w:pPr>
              <w:pStyle w:val="TableText"/>
            </w:pPr>
          </w:p>
        </w:tc>
        <w:tc>
          <w:tcPr>
            <w:tcW w:w="4027" w:type="dxa"/>
            <w:gridSpan w:val="2"/>
          </w:tcPr>
          <w:p w14:paraId="7553FDC1" w14:textId="13D1B04D" w:rsidR="00BB5940" w:rsidRDefault="00BB5940">
            <w:pPr>
              <w:pStyle w:val="TableBlock"/>
              <w:rPr>
                <w:rtl/>
              </w:rPr>
            </w:pPr>
            <w:r>
              <w:rPr>
                <w:rFonts w:hint="cs"/>
                <w:rtl/>
              </w:rPr>
              <w:t xml:space="preserve">"מידע בעל רגישות מיוחדת" </w:t>
            </w:r>
            <w:r>
              <w:rPr>
                <w:rtl/>
              </w:rPr>
              <w:t>–</w:t>
            </w:r>
            <w:r>
              <w:rPr>
                <w:rFonts w:hint="cs"/>
                <w:rtl/>
              </w:rPr>
              <w:t xml:space="preserve"> כל אחד מאלה:</w:t>
            </w:r>
          </w:p>
        </w:tc>
      </w:tr>
      <w:tr w:rsidR="00BB5940" w14:paraId="084AE5A6" w14:textId="77777777" w:rsidTr="002716E8">
        <w:trPr>
          <w:cantSplit/>
          <w:trHeight w:val="60"/>
        </w:trPr>
        <w:tc>
          <w:tcPr>
            <w:tcW w:w="1870" w:type="dxa"/>
          </w:tcPr>
          <w:p w14:paraId="6E65286D" w14:textId="77777777" w:rsidR="00BB5940" w:rsidRDefault="00BB5940">
            <w:pPr>
              <w:pStyle w:val="TableSideHeading"/>
            </w:pPr>
          </w:p>
        </w:tc>
        <w:tc>
          <w:tcPr>
            <w:tcW w:w="624" w:type="dxa"/>
          </w:tcPr>
          <w:p w14:paraId="39CCCF1D" w14:textId="77777777" w:rsidR="00BB5940" w:rsidRDefault="00BB5940">
            <w:pPr>
              <w:pStyle w:val="TableText"/>
            </w:pPr>
          </w:p>
        </w:tc>
        <w:tc>
          <w:tcPr>
            <w:tcW w:w="624" w:type="dxa"/>
          </w:tcPr>
          <w:p w14:paraId="01326C92" w14:textId="77777777" w:rsidR="00BB5940" w:rsidRDefault="00BB5940">
            <w:pPr>
              <w:pStyle w:val="TableText"/>
            </w:pPr>
          </w:p>
        </w:tc>
        <w:tc>
          <w:tcPr>
            <w:tcW w:w="624" w:type="dxa"/>
          </w:tcPr>
          <w:p w14:paraId="067BD923" w14:textId="77777777" w:rsidR="00BB5940" w:rsidRDefault="00BB5940">
            <w:pPr>
              <w:pStyle w:val="TableText"/>
            </w:pPr>
          </w:p>
        </w:tc>
        <w:tc>
          <w:tcPr>
            <w:tcW w:w="624" w:type="dxa"/>
          </w:tcPr>
          <w:p w14:paraId="5845BAC1" w14:textId="77777777" w:rsidR="00BB5940" w:rsidRDefault="00BB5940">
            <w:pPr>
              <w:pStyle w:val="TableText"/>
            </w:pPr>
          </w:p>
        </w:tc>
        <w:tc>
          <w:tcPr>
            <w:tcW w:w="624" w:type="dxa"/>
          </w:tcPr>
          <w:p w14:paraId="061A5571" w14:textId="77777777" w:rsidR="00BB5940" w:rsidRDefault="00BB5940">
            <w:pPr>
              <w:pStyle w:val="TableText"/>
            </w:pPr>
          </w:p>
        </w:tc>
        <w:tc>
          <w:tcPr>
            <w:tcW w:w="624" w:type="dxa"/>
          </w:tcPr>
          <w:p w14:paraId="3B4C83AD" w14:textId="77777777" w:rsidR="00BB5940" w:rsidRDefault="00BB5940">
            <w:pPr>
              <w:pStyle w:val="TableText"/>
            </w:pPr>
          </w:p>
        </w:tc>
        <w:tc>
          <w:tcPr>
            <w:tcW w:w="626" w:type="dxa"/>
          </w:tcPr>
          <w:p w14:paraId="01646376" w14:textId="77777777" w:rsidR="00BB5940" w:rsidRDefault="00BB5940" w:rsidP="00F44C09">
            <w:pPr>
              <w:pStyle w:val="TableText"/>
              <w:numPr>
                <w:ilvl w:val="0"/>
                <w:numId w:val="5"/>
              </w:numPr>
              <w:tabs>
                <w:tab w:val="left" w:pos="624"/>
              </w:tabs>
              <w:jc w:val="both"/>
            </w:pPr>
          </w:p>
        </w:tc>
        <w:tc>
          <w:tcPr>
            <w:tcW w:w="3401" w:type="dxa"/>
          </w:tcPr>
          <w:p w14:paraId="034850A8" w14:textId="0DA206A5" w:rsidR="00BB5940" w:rsidRDefault="00BB5940">
            <w:pPr>
              <w:pStyle w:val="TableBlock"/>
            </w:pPr>
            <w:r>
              <w:rPr>
                <w:rtl/>
              </w:rPr>
              <w:t>מידע רפואי כהגדרתו בחוק זכויות החולה, התשנ"ו-1996;</w:t>
            </w:r>
          </w:p>
        </w:tc>
      </w:tr>
      <w:tr w:rsidR="00BB5940" w14:paraId="093A0D21" w14:textId="77777777" w:rsidTr="002716E8">
        <w:trPr>
          <w:cantSplit/>
          <w:trHeight w:val="60"/>
        </w:trPr>
        <w:tc>
          <w:tcPr>
            <w:tcW w:w="1870" w:type="dxa"/>
          </w:tcPr>
          <w:p w14:paraId="37B8838C" w14:textId="77777777" w:rsidR="00BB5940" w:rsidRDefault="00BB5940">
            <w:pPr>
              <w:pStyle w:val="TableSideHeading"/>
            </w:pPr>
          </w:p>
        </w:tc>
        <w:tc>
          <w:tcPr>
            <w:tcW w:w="624" w:type="dxa"/>
          </w:tcPr>
          <w:p w14:paraId="3C9B6E3F" w14:textId="77777777" w:rsidR="00BB5940" w:rsidRDefault="00BB5940" w:rsidP="00BB5940">
            <w:pPr>
              <w:pStyle w:val="TableText"/>
            </w:pPr>
          </w:p>
        </w:tc>
        <w:tc>
          <w:tcPr>
            <w:tcW w:w="624" w:type="dxa"/>
          </w:tcPr>
          <w:p w14:paraId="31E13F4E" w14:textId="77777777" w:rsidR="00BB5940" w:rsidRDefault="00BB5940">
            <w:pPr>
              <w:pStyle w:val="TableText"/>
            </w:pPr>
          </w:p>
        </w:tc>
        <w:tc>
          <w:tcPr>
            <w:tcW w:w="624" w:type="dxa"/>
          </w:tcPr>
          <w:p w14:paraId="294653B3" w14:textId="77777777" w:rsidR="00BB5940" w:rsidRDefault="00BB5940">
            <w:pPr>
              <w:pStyle w:val="TableText"/>
            </w:pPr>
          </w:p>
        </w:tc>
        <w:tc>
          <w:tcPr>
            <w:tcW w:w="624" w:type="dxa"/>
          </w:tcPr>
          <w:p w14:paraId="0A05D4FE" w14:textId="77777777" w:rsidR="00BB5940" w:rsidRDefault="00BB5940">
            <w:pPr>
              <w:pStyle w:val="TableText"/>
            </w:pPr>
          </w:p>
        </w:tc>
        <w:tc>
          <w:tcPr>
            <w:tcW w:w="624" w:type="dxa"/>
          </w:tcPr>
          <w:p w14:paraId="1CC8DB62" w14:textId="77777777" w:rsidR="00BB5940" w:rsidRDefault="00BB5940">
            <w:pPr>
              <w:pStyle w:val="TableText"/>
            </w:pPr>
          </w:p>
        </w:tc>
        <w:tc>
          <w:tcPr>
            <w:tcW w:w="624" w:type="dxa"/>
          </w:tcPr>
          <w:p w14:paraId="60950089" w14:textId="77777777" w:rsidR="00BB5940" w:rsidRDefault="00BB5940">
            <w:pPr>
              <w:pStyle w:val="TableText"/>
            </w:pPr>
          </w:p>
        </w:tc>
        <w:tc>
          <w:tcPr>
            <w:tcW w:w="626" w:type="dxa"/>
          </w:tcPr>
          <w:p w14:paraId="4F4281FA" w14:textId="77777777" w:rsidR="00BB5940" w:rsidRDefault="00BB5940" w:rsidP="00F44C09">
            <w:pPr>
              <w:pStyle w:val="TableText"/>
              <w:numPr>
                <w:ilvl w:val="0"/>
                <w:numId w:val="5"/>
              </w:numPr>
              <w:tabs>
                <w:tab w:val="left" w:pos="624"/>
              </w:tabs>
              <w:jc w:val="both"/>
            </w:pPr>
          </w:p>
        </w:tc>
        <w:tc>
          <w:tcPr>
            <w:tcW w:w="3401" w:type="dxa"/>
          </w:tcPr>
          <w:p w14:paraId="4581377A" w14:textId="095F7333" w:rsidR="00BB5940" w:rsidRDefault="00BB5940">
            <w:pPr>
              <w:pStyle w:val="TableBlock"/>
              <w:rPr>
                <w:rtl/>
              </w:rPr>
            </w:pPr>
            <w:r>
              <w:rPr>
                <w:rtl/>
              </w:rPr>
              <w:t>מידע גנטי כהגדרתו בחוק מידע גנטי, התשס"א-2000;</w:t>
            </w:r>
          </w:p>
        </w:tc>
      </w:tr>
      <w:tr w:rsidR="00BB5940" w14:paraId="6AE8420D" w14:textId="77777777" w:rsidTr="002716E8">
        <w:trPr>
          <w:cantSplit/>
          <w:trHeight w:val="60"/>
        </w:trPr>
        <w:tc>
          <w:tcPr>
            <w:tcW w:w="1870" w:type="dxa"/>
          </w:tcPr>
          <w:p w14:paraId="077D21F7" w14:textId="77777777" w:rsidR="00BB5940" w:rsidRDefault="00BB5940">
            <w:pPr>
              <w:pStyle w:val="TableSideHeading"/>
            </w:pPr>
          </w:p>
        </w:tc>
        <w:tc>
          <w:tcPr>
            <w:tcW w:w="624" w:type="dxa"/>
          </w:tcPr>
          <w:p w14:paraId="668CA30C" w14:textId="77777777" w:rsidR="00BB5940" w:rsidRDefault="00BB5940" w:rsidP="00BB5940">
            <w:pPr>
              <w:pStyle w:val="TableText"/>
            </w:pPr>
          </w:p>
        </w:tc>
        <w:tc>
          <w:tcPr>
            <w:tcW w:w="624" w:type="dxa"/>
          </w:tcPr>
          <w:p w14:paraId="3C57E48B" w14:textId="77777777" w:rsidR="00BB5940" w:rsidRDefault="00BB5940">
            <w:pPr>
              <w:pStyle w:val="TableText"/>
            </w:pPr>
          </w:p>
        </w:tc>
        <w:tc>
          <w:tcPr>
            <w:tcW w:w="624" w:type="dxa"/>
          </w:tcPr>
          <w:p w14:paraId="12E77287" w14:textId="77777777" w:rsidR="00BB5940" w:rsidRDefault="00BB5940">
            <w:pPr>
              <w:pStyle w:val="TableText"/>
            </w:pPr>
          </w:p>
        </w:tc>
        <w:tc>
          <w:tcPr>
            <w:tcW w:w="624" w:type="dxa"/>
          </w:tcPr>
          <w:p w14:paraId="54216A33" w14:textId="77777777" w:rsidR="00BB5940" w:rsidRDefault="00BB5940">
            <w:pPr>
              <w:pStyle w:val="TableText"/>
            </w:pPr>
          </w:p>
        </w:tc>
        <w:tc>
          <w:tcPr>
            <w:tcW w:w="624" w:type="dxa"/>
          </w:tcPr>
          <w:p w14:paraId="20F41978" w14:textId="77777777" w:rsidR="00BB5940" w:rsidRDefault="00BB5940">
            <w:pPr>
              <w:pStyle w:val="TableText"/>
            </w:pPr>
          </w:p>
        </w:tc>
        <w:tc>
          <w:tcPr>
            <w:tcW w:w="624" w:type="dxa"/>
          </w:tcPr>
          <w:p w14:paraId="4F81DC7F" w14:textId="77777777" w:rsidR="00BB5940" w:rsidRDefault="00BB5940">
            <w:pPr>
              <w:pStyle w:val="TableText"/>
            </w:pPr>
          </w:p>
        </w:tc>
        <w:tc>
          <w:tcPr>
            <w:tcW w:w="626" w:type="dxa"/>
          </w:tcPr>
          <w:p w14:paraId="43F4CE0D" w14:textId="77777777" w:rsidR="00BB5940" w:rsidRDefault="00BB5940" w:rsidP="00F44C09">
            <w:pPr>
              <w:pStyle w:val="TableText"/>
              <w:numPr>
                <w:ilvl w:val="0"/>
                <w:numId w:val="5"/>
              </w:numPr>
              <w:tabs>
                <w:tab w:val="left" w:pos="624"/>
              </w:tabs>
              <w:jc w:val="both"/>
            </w:pPr>
          </w:p>
        </w:tc>
        <w:tc>
          <w:tcPr>
            <w:tcW w:w="3401" w:type="dxa"/>
          </w:tcPr>
          <w:p w14:paraId="2191A15D" w14:textId="3BCBD87F" w:rsidR="00BB5940" w:rsidRDefault="00BB5940">
            <w:pPr>
              <w:pStyle w:val="TableBlock"/>
              <w:rPr>
                <w:rtl/>
              </w:rPr>
            </w:pPr>
            <w:r>
              <w:rPr>
                <w:rtl/>
              </w:rPr>
              <w:t>מידע על אודות דעותיו הפוליטיות של אדם או על אמונותיו הדתיות של אדם, למעט מידע העלול לבסס חשש ממשי למעשים שלא כדין;</w:t>
            </w:r>
          </w:p>
        </w:tc>
      </w:tr>
      <w:tr w:rsidR="00BB5940" w14:paraId="5C105E39" w14:textId="77777777" w:rsidTr="002716E8">
        <w:trPr>
          <w:cantSplit/>
          <w:trHeight w:val="60"/>
        </w:trPr>
        <w:tc>
          <w:tcPr>
            <w:tcW w:w="1870" w:type="dxa"/>
          </w:tcPr>
          <w:p w14:paraId="0EB35683" w14:textId="77777777" w:rsidR="00BB5940" w:rsidRDefault="00BB5940">
            <w:pPr>
              <w:pStyle w:val="TableSideHeading"/>
            </w:pPr>
          </w:p>
        </w:tc>
        <w:tc>
          <w:tcPr>
            <w:tcW w:w="624" w:type="dxa"/>
          </w:tcPr>
          <w:p w14:paraId="110AA414" w14:textId="77777777" w:rsidR="00BB5940" w:rsidRDefault="00BB5940" w:rsidP="00BB5940">
            <w:pPr>
              <w:pStyle w:val="TableText"/>
            </w:pPr>
          </w:p>
        </w:tc>
        <w:tc>
          <w:tcPr>
            <w:tcW w:w="624" w:type="dxa"/>
          </w:tcPr>
          <w:p w14:paraId="6045477D" w14:textId="77777777" w:rsidR="00BB5940" w:rsidRDefault="00BB5940">
            <w:pPr>
              <w:pStyle w:val="TableText"/>
            </w:pPr>
          </w:p>
        </w:tc>
        <w:tc>
          <w:tcPr>
            <w:tcW w:w="624" w:type="dxa"/>
          </w:tcPr>
          <w:p w14:paraId="5CD47767" w14:textId="77777777" w:rsidR="00BB5940" w:rsidRDefault="00BB5940">
            <w:pPr>
              <w:pStyle w:val="TableText"/>
            </w:pPr>
          </w:p>
        </w:tc>
        <w:tc>
          <w:tcPr>
            <w:tcW w:w="624" w:type="dxa"/>
          </w:tcPr>
          <w:p w14:paraId="5DF580F5" w14:textId="77777777" w:rsidR="00BB5940" w:rsidRDefault="00BB5940">
            <w:pPr>
              <w:pStyle w:val="TableText"/>
            </w:pPr>
          </w:p>
        </w:tc>
        <w:tc>
          <w:tcPr>
            <w:tcW w:w="624" w:type="dxa"/>
          </w:tcPr>
          <w:p w14:paraId="2E612F57" w14:textId="77777777" w:rsidR="00BB5940" w:rsidRDefault="00BB5940">
            <w:pPr>
              <w:pStyle w:val="TableText"/>
            </w:pPr>
          </w:p>
        </w:tc>
        <w:tc>
          <w:tcPr>
            <w:tcW w:w="624" w:type="dxa"/>
          </w:tcPr>
          <w:p w14:paraId="6161EB81" w14:textId="77777777" w:rsidR="00BB5940" w:rsidRDefault="00BB5940">
            <w:pPr>
              <w:pStyle w:val="TableText"/>
            </w:pPr>
          </w:p>
        </w:tc>
        <w:tc>
          <w:tcPr>
            <w:tcW w:w="626" w:type="dxa"/>
          </w:tcPr>
          <w:p w14:paraId="049497F9" w14:textId="77777777" w:rsidR="00BB5940" w:rsidRDefault="00BB5940" w:rsidP="00F44C09">
            <w:pPr>
              <w:pStyle w:val="TableText"/>
              <w:numPr>
                <w:ilvl w:val="0"/>
                <w:numId w:val="5"/>
              </w:numPr>
              <w:tabs>
                <w:tab w:val="left" w:pos="624"/>
              </w:tabs>
              <w:jc w:val="both"/>
            </w:pPr>
          </w:p>
        </w:tc>
        <w:tc>
          <w:tcPr>
            <w:tcW w:w="3401" w:type="dxa"/>
          </w:tcPr>
          <w:p w14:paraId="5396D258" w14:textId="044D94F5" w:rsidR="00BB5940" w:rsidRDefault="00BB5940">
            <w:pPr>
              <w:pStyle w:val="TableBlock"/>
              <w:rPr>
                <w:rtl/>
              </w:rPr>
            </w:pPr>
            <w:r>
              <w:rPr>
                <w:rtl/>
              </w:rPr>
              <w:t>מידע שחלה עליו חובת סודיות שנקבעה בדין, למעט לפי חוק הגנת הפרטיות;</w:t>
            </w:r>
          </w:p>
        </w:tc>
      </w:tr>
      <w:tr w:rsidR="00BB5940" w14:paraId="5DC1A272" w14:textId="77777777" w:rsidTr="002716E8">
        <w:trPr>
          <w:cantSplit/>
          <w:trHeight w:val="60"/>
        </w:trPr>
        <w:tc>
          <w:tcPr>
            <w:tcW w:w="1870" w:type="dxa"/>
          </w:tcPr>
          <w:p w14:paraId="5CE2DF98" w14:textId="77777777" w:rsidR="00BB5940" w:rsidRDefault="00BB5940">
            <w:pPr>
              <w:pStyle w:val="TableSideHeading"/>
            </w:pPr>
          </w:p>
        </w:tc>
        <w:tc>
          <w:tcPr>
            <w:tcW w:w="624" w:type="dxa"/>
          </w:tcPr>
          <w:p w14:paraId="06A8C016" w14:textId="77777777" w:rsidR="00BB5940" w:rsidRDefault="00BB5940" w:rsidP="00BB5940">
            <w:pPr>
              <w:pStyle w:val="TableText"/>
            </w:pPr>
          </w:p>
        </w:tc>
        <w:tc>
          <w:tcPr>
            <w:tcW w:w="624" w:type="dxa"/>
          </w:tcPr>
          <w:p w14:paraId="12DDB4C2" w14:textId="77777777" w:rsidR="00BB5940" w:rsidRDefault="00BB5940">
            <w:pPr>
              <w:pStyle w:val="TableText"/>
            </w:pPr>
          </w:p>
        </w:tc>
        <w:tc>
          <w:tcPr>
            <w:tcW w:w="624" w:type="dxa"/>
          </w:tcPr>
          <w:p w14:paraId="5E6C22C2" w14:textId="77777777" w:rsidR="00BB5940" w:rsidRDefault="00BB5940">
            <w:pPr>
              <w:pStyle w:val="TableText"/>
            </w:pPr>
          </w:p>
        </w:tc>
        <w:tc>
          <w:tcPr>
            <w:tcW w:w="624" w:type="dxa"/>
          </w:tcPr>
          <w:p w14:paraId="757E53BA" w14:textId="77777777" w:rsidR="00BB5940" w:rsidRDefault="00BB5940">
            <w:pPr>
              <w:pStyle w:val="TableText"/>
            </w:pPr>
          </w:p>
        </w:tc>
        <w:tc>
          <w:tcPr>
            <w:tcW w:w="624" w:type="dxa"/>
          </w:tcPr>
          <w:p w14:paraId="0A5EEBF4" w14:textId="77777777" w:rsidR="00BB5940" w:rsidRDefault="00BB5940">
            <w:pPr>
              <w:pStyle w:val="TableText"/>
            </w:pPr>
          </w:p>
        </w:tc>
        <w:tc>
          <w:tcPr>
            <w:tcW w:w="624" w:type="dxa"/>
          </w:tcPr>
          <w:p w14:paraId="768E99F9" w14:textId="77777777" w:rsidR="00BB5940" w:rsidRDefault="00BB5940">
            <w:pPr>
              <w:pStyle w:val="TableText"/>
            </w:pPr>
          </w:p>
        </w:tc>
        <w:tc>
          <w:tcPr>
            <w:tcW w:w="626" w:type="dxa"/>
          </w:tcPr>
          <w:p w14:paraId="57B5D759" w14:textId="77777777" w:rsidR="00BB5940" w:rsidRDefault="00BB5940" w:rsidP="00F44C09">
            <w:pPr>
              <w:pStyle w:val="TableText"/>
              <w:numPr>
                <w:ilvl w:val="0"/>
                <w:numId w:val="5"/>
              </w:numPr>
              <w:tabs>
                <w:tab w:val="left" w:pos="624"/>
              </w:tabs>
              <w:jc w:val="both"/>
            </w:pPr>
          </w:p>
        </w:tc>
        <w:tc>
          <w:tcPr>
            <w:tcW w:w="3401" w:type="dxa"/>
          </w:tcPr>
          <w:p w14:paraId="76134EC4" w14:textId="38F16CC0" w:rsidR="00BB5940" w:rsidRDefault="00BB5940">
            <w:pPr>
              <w:pStyle w:val="TableBlock"/>
              <w:rPr>
                <w:rtl/>
              </w:rPr>
            </w:pPr>
            <w:r>
              <w:rPr>
                <w:rtl/>
              </w:rPr>
              <w:t>מידע שהוא תוכן שיחה כמשמעותו בחוק האזנת סתר;</w:t>
            </w:r>
          </w:p>
        </w:tc>
      </w:tr>
      <w:tr w:rsidR="00BB5940" w14:paraId="7389DA00" w14:textId="77777777" w:rsidTr="002716E8">
        <w:trPr>
          <w:cantSplit/>
          <w:trHeight w:val="60"/>
        </w:trPr>
        <w:tc>
          <w:tcPr>
            <w:tcW w:w="1870" w:type="dxa"/>
          </w:tcPr>
          <w:p w14:paraId="2EE5BCEA" w14:textId="77777777" w:rsidR="00BB5940" w:rsidRDefault="00BB5940">
            <w:pPr>
              <w:pStyle w:val="TableSideHeading"/>
            </w:pPr>
          </w:p>
        </w:tc>
        <w:tc>
          <w:tcPr>
            <w:tcW w:w="624" w:type="dxa"/>
          </w:tcPr>
          <w:p w14:paraId="3E8D3A25" w14:textId="77777777" w:rsidR="00BB5940" w:rsidRDefault="00BB5940" w:rsidP="00BB5940">
            <w:pPr>
              <w:pStyle w:val="TableText"/>
            </w:pPr>
          </w:p>
        </w:tc>
        <w:tc>
          <w:tcPr>
            <w:tcW w:w="624" w:type="dxa"/>
          </w:tcPr>
          <w:p w14:paraId="4AFC6ED0" w14:textId="77777777" w:rsidR="00BB5940" w:rsidRDefault="00BB5940">
            <w:pPr>
              <w:pStyle w:val="TableText"/>
            </w:pPr>
          </w:p>
        </w:tc>
        <w:tc>
          <w:tcPr>
            <w:tcW w:w="624" w:type="dxa"/>
          </w:tcPr>
          <w:p w14:paraId="51340571" w14:textId="77777777" w:rsidR="00BB5940" w:rsidRDefault="00BB5940">
            <w:pPr>
              <w:pStyle w:val="TableText"/>
            </w:pPr>
          </w:p>
        </w:tc>
        <w:tc>
          <w:tcPr>
            <w:tcW w:w="624" w:type="dxa"/>
          </w:tcPr>
          <w:p w14:paraId="53C19EC2" w14:textId="77777777" w:rsidR="00BB5940" w:rsidRDefault="00BB5940">
            <w:pPr>
              <w:pStyle w:val="TableText"/>
            </w:pPr>
          </w:p>
        </w:tc>
        <w:tc>
          <w:tcPr>
            <w:tcW w:w="624" w:type="dxa"/>
          </w:tcPr>
          <w:p w14:paraId="45F46918" w14:textId="77777777" w:rsidR="00BB5940" w:rsidRDefault="00BB5940">
            <w:pPr>
              <w:pStyle w:val="TableText"/>
            </w:pPr>
          </w:p>
        </w:tc>
        <w:tc>
          <w:tcPr>
            <w:tcW w:w="624" w:type="dxa"/>
          </w:tcPr>
          <w:p w14:paraId="4C7097C8" w14:textId="77777777" w:rsidR="00BB5940" w:rsidRDefault="00BB5940">
            <w:pPr>
              <w:pStyle w:val="TableText"/>
            </w:pPr>
          </w:p>
        </w:tc>
        <w:tc>
          <w:tcPr>
            <w:tcW w:w="626" w:type="dxa"/>
          </w:tcPr>
          <w:p w14:paraId="167BBA3C" w14:textId="77777777" w:rsidR="00BB5940" w:rsidRDefault="00BB5940" w:rsidP="00F44C09">
            <w:pPr>
              <w:pStyle w:val="TableText"/>
              <w:numPr>
                <w:ilvl w:val="0"/>
                <w:numId w:val="5"/>
              </w:numPr>
              <w:tabs>
                <w:tab w:val="left" w:pos="624"/>
              </w:tabs>
              <w:jc w:val="both"/>
            </w:pPr>
          </w:p>
        </w:tc>
        <w:tc>
          <w:tcPr>
            <w:tcW w:w="3401" w:type="dxa"/>
          </w:tcPr>
          <w:p w14:paraId="23A45CD3" w14:textId="41B26D18" w:rsidR="00BB5940" w:rsidRDefault="00BB5940">
            <w:pPr>
              <w:pStyle w:val="TableBlock"/>
              <w:rPr>
                <w:rtl/>
              </w:rPr>
            </w:pPr>
            <w:r>
              <w:rPr>
                <w:rtl/>
              </w:rPr>
              <w:t>מידע על צנעת חייו האישיים של האדם, כגון התנהגותו והעדפותיו המיניות של אדם, יחסיו עם בני משפחתו והתנהגותו ברשות היחיד, והכל למעט מידע העלול לבסס חשש ממשי למעשים שלא כדין;</w:t>
            </w:r>
          </w:p>
        </w:tc>
      </w:tr>
      <w:tr w:rsidR="00BB5940" w14:paraId="322E2FF2" w14:textId="77777777" w:rsidTr="002716E8">
        <w:trPr>
          <w:cantSplit/>
          <w:trHeight w:val="60"/>
        </w:trPr>
        <w:tc>
          <w:tcPr>
            <w:tcW w:w="1870" w:type="dxa"/>
          </w:tcPr>
          <w:p w14:paraId="39F8B662" w14:textId="77777777" w:rsidR="00BB5940" w:rsidRDefault="00BB5940">
            <w:pPr>
              <w:pStyle w:val="TableSideHeading"/>
            </w:pPr>
          </w:p>
        </w:tc>
        <w:tc>
          <w:tcPr>
            <w:tcW w:w="624" w:type="dxa"/>
          </w:tcPr>
          <w:p w14:paraId="1579AF3C" w14:textId="77777777" w:rsidR="00BB5940" w:rsidRDefault="00BB5940" w:rsidP="00BB5940">
            <w:pPr>
              <w:pStyle w:val="TableText"/>
            </w:pPr>
          </w:p>
        </w:tc>
        <w:tc>
          <w:tcPr>
            <w:tcW w:w="624" w:type="dxa"/>
          </w:tcPr>
          <w:p w14:paraId="78445E45" w14:textId="77777777" w:rsidR="00BB5940" w:rsidRDefault="00BB5940">
            <w:pPr>
              <w:pStyle w:val="TableText"/>
            </w:pPr>
          </w:p>
        </w:tc>
        <w:tc>
          <w:tcPr>
            <w:tcW w:w="624" w:type="dxa"/>
          </w:tcPr>
          <w:p w14:paraId="71E17639" w14:textId="77777777" w:rsidR="00BB5940" w:rsidRDefault="00BB5940">
            <w:pPr>
              <w:pStyle w:val="TableText"/>
            </w:pPr>
          </w:p>
        </w:tc>
        <w:tc>
          <w:tcPr>
            <w:tcW w:w="624" w:type="dxa"/>
          </w:tcPr>
          <w:p w14:paraId="71815DF8" w14:textId="77777777" w:rsidR="00BB5940" w:rsidRDefault="00BB5940">
            <w:pPr>
              <w:pStyle w:val="TableText"/>
            </w:pPr>
          </w:p>
        </w:tc>
        <w:tc>
          <w:tcPr>
            <w:tcW w:w="624" w:type="dxa"/>
          </w:tcPr>
          <w:p w14:paraId="0AFED747" w14:textId="77777777" w:rsidR="00BB5940" w:rsidRDefault="00BB5940">
            <w:pPr>
              <w:pStyle w:val="TableText"/>
            </w:pPr>
          </w:p>
        </w:tc>
        <w:tc>
          <w:tcPr>
            <w:tcW w:w="624" w:type="dxa"/>
          </w:tcPr>
          <w:p w14:paraId="6D956CB9" w14:textId="77777777" w:rsidR="00BB5940" w:rsidRDefault="00BB5940">
            <w:pPr>
              <w:pStyle w:val="TableText"/>
            </w:pPr>
          </w:p>
        </w:tc>
        <w:tc>
          <w:tcPr>
            <w:tcW w:w="626" w:type="dxa"/>
          </w:tcPr>
          <w:p w14:paraId="1878DC50" w14:textId="77777777" w:rsidR="00BB5940" w:rsidRDefault="00BB5940" w:rsidP="00F44C09">
            <w:pPr>
              <w:pStyle w:val="TableText"/>
              <w:numPr>
                <w:ilvl w:val="0"/>
                <w:numId w:val="5"/>
              </w:numPr>
              <w:tabs>
                <w:tab w:val="left" w:pos="624"/>
              </w:tabs>
              <w:jc w:val="both"/>
            </w:pPr>
          </w:p>
        </w:tc>
        <w:tc>
          <w:tcPr>
            <w:tcW w:w="3401" w:type="dxa"/>
          </w:tcPr>
          <w:p w14:paraId="6FA89A23" w14:textId="46E771F6" w:rsidR="00BB5940" w:rsidRDefault="00BB5940">
            <w:pPr>
              <w:pStyle w:val="TableBlock"/>
              <w:rPr>
                <w:rtl/>
              </w:rPr>
            </w:pPr>
            <w:r>
              <w:rPr>
                <w:rtl/>
              </w:rPr>
              <w:t>מידע על נכסיו של אדם, חובותיו והתחייבויותיו הכלכליות, מצבו הכלכלי או שינוי בו, יכולתו לעמוד בהתחייבויותיו הכלכליות ומידת עמידתו בהן;</w:t>
            </w:r>
          </w:p>
        </w:tc>
      </w:tr>
      <w:tr w:rsidR="00BB5940" w14:paraId="1ED4090E" w14:textId="77777777" w:rsidTr="002716E8">
        <w:trPr>
          <w:cantSplit/>
          <w:trHeight w:val="60"/>
        </w:trPr>
        <w:tc>
          <w:tcPr>
            <w:tcW w:w="1870" w:type="dxa"/>
          </w:tcPr>
          <w:p w14:paraId="61C8F63F" w14:textId="77777777" w:rsidR="00BB5940" w:rsidRDefault="00BB5940">
            <w:pPr>
              <w:pStyle w:val="TableSideHeading"/>
            </w:pPr>
          </w:p>
        </w:tc>
        <w:tc>
          <w:tcPr>
            <w:tcW w:w="624" w:type="dxa"/>
          </w:tcPr>
          <w:p w14:paraId="759BC113" w14:textId="77777777" w:rsidR="00BB5940" w:rsidRDefault="00BB5940" w:rsidP="00BB5940">
            <w:pPr>
              <w:pStyle w:val="TableText"/>
            </w:pPr>
          </w:p>
        </w:tc>
        <w:tc>
          <w:tcPr>
            <w:tcW w:w="624" w:type="dxa"/>
          </w:tcPr>
          <w:p w14:paraId="734AEF35" w14:textId="77777777" w:rsidR="00BB5940" w:rsidRDefault="00BB5940">
            <w:pPr>
              <w:pStyle w:val="TableText"/>
            </w:pPr>
          </w:p>
        </w:tc>
        <w:tc>
          <w:tcPr>
            <w:tcW w:w="624" w:type="dxa"/>
          </w:tcPr>
          <w:p w14:paraId="1CC7C775" w14:textId="77777777" w:rsidR="00BB5940" w:rsidRDefault="00BB5940">
            <w:pPr>
              <w:pStyle w:val="TableText"/>
            </w:pPr>
          </w:p>
        </w:tc>
        <w:tc>
          <w:tcPr>
            <w:tcW w:w="624" w:type="dxa"/>
          </w:tcPr>
          <w:p w14:paraId="373B8914" w14:textId="77777777" w:rsidR="00BB5940" w:rsidRDefault="00BB5940">
            <w:pPr>
              <w:pStyle w:val="TableText"/>
            </w:pPr>
          </w:p>
        </w:tc>
        <w:tc>
          <w:tcPr>
            <w:tcW w:w="624" w:type="dxa"/>
          </w:tcPr>
          <w:p w14:paraId="0206993D" w14:textId="77777777" w:rsidR="00BB5940" w:rsidRDefault="00BB5940">
            <w:pPr>
              <w:pStyle w:val="TableText"/>
            </w:pPr>
          </w:p>
        </w:tc>
        <w:tc>
          <w:tcPr>
            <w:tcW w:w="624" w:type="dxa"/>
          </w:tcPr>
          <w:p w14:paraId="52316BE3" w14:textId="77777777" w:rsidR="00BB5940" w:rsidRDefault="00BB5940">
            <w:pPr>
              <w:pStyle w:val="TableText"/>
            </w:pPr>
          </w:p>
        </w:tc>
        <w:tc>
          <w:tcPr>
            <w:tcW w:w="626" w:type="dxa"/>
          </w:tcPr>
          <w:p w14:paraId="4D04BC2F" w14:textId="77777777" w:rsidR="00BB5940" w:rsidRDefault="00BB5940" w:rsidP="00F44C09">
            <w:pPr>
              <w:pStyle w:val="TableText"/>
              <w:numPr>
                <w:ilvl w:val="0"/>
                <w:numId w:val="5"/>
              </w:numPr>
              <w:tabs>
                <w:tab w:val="left" w:pos="624"/>
              </w:tabs>
              <w:jc w:val="both"/>
            </w:pPr>
          </w:p>
        </w:tc>
        <w:tc>
          <w:tcPr>
            <w:tcW w:w="3401" w:type="dxa"/>
          </w:tcPr>
          <w:p w14:paraId="49B423F3" w14:textId="7735EC5B" w:rsidR="00BB5940" w:rsidRDefault="005D7241">
            <w:pPr>
              <w:pStyle w:val="TableBlock"/>
              <w:rPr>
                <w:rtl/>
              </w:rPr>
            </w:pPr>
            <w:r>
              <w:rPr>
                <w:rtl/>
              </w:rPr>
              <w:t xml:space="preserve">מידע שהוא מזהה ביומטרי; לעניין זה "מזהה ביומטרי" – נתון ביומטרי המשמש לזיהוי אדם או לאימות זהותו; "ביומטרי" – מאפיין אנושי, פיזיולוגי או התנהגותי ייחודי, הניתן למדידה ממוחשבת;  </w:t>
            </w:r>
          </w:p>
        </w:tc>
      </w:tr>
      <w:tr w:rsidR="005D7241" w14:paraId="6BB1C6BE" w14:textId="77777777" w:rsidTr="002716E8">
        <w:trPr>
          <w:cantSplit/>
          <w:trHeight w:val="60"/>
        </w:trPr>
        <w:tc>
          <w:tcPr>
            <w:tcW w:w="1870" w:type="dxa"/>
          </w:tcPr>
          <w:p w14:paraId="20CA578C" w14:textId="77777777" w:rsidR="005D7241" w:rsidRDefault="005D7241">
            <w:pPr>
              <w:pStyle w:val="TableSideHeading"/>
            </w:pPr>
          </w:p>
        </w:tc>
        <w:tc>
          <w:tcPr>
            <w:tcW w:w="624" w:type="dxa"/>
          </w:tcPr>
          <w:p w14:paraId="0D8D4D4F" w14:textId="77777777" w:rsidR="005D7241" w:rsidRDefault="005D7241" w:rsidP="005D7241">
            <w:pPr>
              <w:pStyle w:val="TableText"/>
            </w:pPr>
          </w:p>
        </w:tc>
        <w:tc>
          <w:tcPr>
            <w:tcW w:w="624" w:type="dxa"/>
          </w:tcPr>
          <w:p w14:paraId="00DB9310" w14:textId="77777777" w:rsidR="005D7241" w:rsidRDefault="005D7241">
            <w:pPr>
              <w:pStyle w:val="TableText"/>
            </w:pPr>
          </w:p>
        </w:tc>
        <w:tc>
          <w:tcPr>
            <w:tcW w:w="624" w:type="dxa"/>
          </w:tcPr>
          <w:p w14:paraId="02A58B9B" w14:textId="77777777" w:rsidR="005D7241" w:rsidRDefault="005D7241">
            <w:pPr>
              <w:pStyle w:val="TableText"/>
            </w:pPr>
          </w:p>
        </w:tc>
        <w:tc>
          <w:tcPr>
            <w:tcW w:w="624" w:type="dxa"/>
          </w:tcPr>
          <w:p w14:paraId="23E97508" w14:textId="77777777" w:rsidR="005D7241" w:rsidRDefault="005D7241">
            <w:pPr>
              <w:pStyle w:val="TableText"/>
            </w:pPr>
          </w:p>
        </w:tc>
        <w:tc>
          <w:tcPr>
            <w:tcW w:w="624" w:type="dxa"/>
          </w:tcPr>
          <w:p w14:paraId="4E3B69F7" w14:textId="77777777" w:rsidR="005D7241" w:rsidRDefault="005D7241">
            <w:pPr>
              <w:pStyle w:val="TableText"/>
            </w:pPr>
          </w:p>
        </w:tc>
        <w:tc>
          <w:tcPr>
            <w:tcW w:w="624" w:type="dxa"/>
          </w:tcPr>
          <w:p w14:paraId="585D00CF" w14:textId="77777777" w:rsidR="005D7241" w:rsidRDefault="005D7241">
            <w:pPr>
              <w:pStyle w:val="TableText"/>
            </w:pPr>
          </w:p>
        </w:tc>
        <w:tc>
          <w:tcPr>
            <w:tcW w:w="626" w:type="dxa"/>
          </w:tcPr>
          <w:p w14:paraId="02F4DFB7" w14:textId="77777777" w:rsidR="005D7241" w:rsidRDefault="005D7241" w:rsidP="00F44C09">
            <w:pPr>
              <w:pStyle w:val="TableText"/>
              <w:numPr>
                <w:ilvl w:val="0"/>
                <w:numId w:val="5"/>
              </w:numPr>
              <w:tabs>
                <w:tab w:val="left" w:pos="624"/>
              </w:tabs>
              <w:jc w:val="both"/>
            </w:pPr>
          </w:p>
        </w:tc>
        <w:tc>
          <w:tcPr>
            <w:tcW w:w="3401" w:type="dxa"/>
          </w:tcPr>
          <w:p w14:paraId="07373325" w14:textId="6E2EC1E8" w:rsidR="005D7241" w:rsidRDefault="005D7241">
            <w:pPr>
              <w:pStyle w:val="TableBlock"/>
              <w:rPr>
                <w:rtl/>
              </w:rPr>
            </w:pPr>
            <w:r>
              <w:rPr>
                <w:rtl/>
              </w:rPr>
              <w:t>מידע נוסף שקבע שר המשפטים בהתייעצות עם ראש הממשלה.</w:t>
            </w:r>
          </w:p>
        </w:tc>
      </w:tr>
      <w:tr w:rsidR="004E6068" w14:paraId="1FE7D7AE" w14:textId="77777777" w:rsidTr="002716E8">
        <w:trPr>
          <w:cantSplit/>
          <w:trHeight w:val="60"/>
        </w:trPr>
        <w:tc>
          <w:tcPr>
            <w:tcW w:w="1870" w:type="dxa"/>
          </w:tcPr>
          <w:p w14:paraId="2906185F" w14:textId="77777777" w:rsidR="004E6068" w:rsidRDefault="004E6068">
            <w:pPr>
              <w:pStyle w:val="TableSideHeading"/>
            </w:pPr>
          </w:p>
        </w:tc>
        <w:tc>
          <w:tcPr>
            <w:tcW w:w="624" w:type="dxa"/>
          </w:tcPr>
          <w:p w14:paraId="69E1B77F" w14:textId="77777777" w:rsidR="004E6068" w:rsidRDefault="004E6068">
            <w:pPr>
              <w:pStyle w:val="TableText"/>
            </w:pPr>
          </w:p>
        </w:tc>
        <w:tc>
          <w:tcPr>
            <w:tcW w:w="624" w:type="dxa"/>
          </w:tcPr>
          <w:p w14:paraId="13496BD1" w14:textId="77777777" w:rsidR="004E6068" w:rsidRDefault="004E6068">
            <w:pPr>
              <w:pStyle w:val="TableText"/>
            </w:pPr>
          </w:p>
        </w:tc>
        <w:tc>
          <w:tcPr>
            <w:tcW w:w="624" w:type="dxa"/>
          </w:tcPr>
          <w:p w14:paraId="02B9DAE4" w14:textId="77777777" w:rsidR="004E6068" w:rsidRDefault="004E6068">
            <w:pPr>
              <w:pStyle w:val="TableText"/>
            </w:pPr>
          </w:p>
        </w:tc>
        <w:tc>
          <w:tcPr>
            <w:tcW w:w="624" w:type="dxa"/>
          </w:tcPr>
          <w:p w14:paraId="2F0F0584" w14:textId="77777777" w:rsidR="004E6068" w:rsidRDefault="004E6068">
            <w:pPr>
              <w:pStyle w:val="TableText"/>
            </w:pPr>
          </w:p>
        </w:tc>
        <w:tc>
          <w:tcPr>
            <w:tcW w:w="624" w:type="dxa"/>
          </w:tcPr>
          <w:p w14:paraId="6E5364A1" w14:textId="77777777" w:rsidR="004E6068" w:rsidRDefault="004E6068">
            <w:pPr>
              <w:pStyle w:val="TableText"/>
            </w:pPr>
          </w:p>
        </w:tc>
        <w:tc>
          <w:tcPr>
            <w:tcW w:w="624" w:type="dxa"/>
          </w:tcPr>
          <w:p w14:paraId="104876DE" w14:textId="17A3773C" w:rsidR="004E6068" w:rsidRDefault="004E6068" w:rsidP="00F44C09">
            <w:pPr>
              <w:pStyle w:val="TableText"/>
              <w:numPr>
                <w:ilvl w:val="0"/>
                <w:numId w:val="6"/>
              </w:numPr>
              <w:tabs>
                <w:tab w:val="left" w:pos="624"/>
              </w:tabs>
              <w:jc w:val="both"/>
            </w:pPr>
          </w:p>
        </w:tc>
        <w:tc>
          <w:tcPr>
            <w:tcW w:w="626" w:type="dxa"/>
          </w:tcPr>
          <w:p w14:paraId="35392935" w14:textId="77777777" w:rsidR="004E6068" w:rsidRDefault="004E6068" w:rsidP="00F44C09">
            <w:pPr>
              <w:pStyle w:val="TableBlock"/>
              <w:numPr>
                <w:ilvl w:val="0"/>
                <w:numId w:val="7"/>
              </w:numPr>
              <w:tabs>
                <w:tab w:val="left" w:pos="624"/>
              </w:tabs>
            </w:pPr>
          </w:p>
        </w:tc>
        <w:tc>
          <w:tcPr>
            <w:tcW w:w="3401" w:type="dxa"/>
          </w:tcPr>
          <w:p w14:paraId="4704D839" w14:textId="1FEF9722" w:rsidR="004E6068" w:rsidRDefault="004E6068">
            <w:pPr>
              <w:pStyle w:val="TableBlock"/>
            </w:pPr>
            <w:r>
              <w:rPr>
                <w:rtl/>
              </w:rPr>
              <w:t>ראש הממשלה, לבקשת ראש השירות ולאחר</w:t>
            </w:r>
            <w:r>
              <w:rPr>
                <w:rFonts w:hint="cs"/>
                <w:rtl/>
              </w:rPr>
              <w:t xml:space="preserve"> </w:t>
            </w:r>
            <w:r>
              <w:rPr>
                <w:rtl/>
              </w:rPr>
              <w:t>קבלת חוות דעת היועץ המשפטי לממשלה, רשאי להתיר לשירות לקבל או לאסוף</w:t>
            </w:r>
            <w:r>
              <w:rPr>
                <w:rFonts w:hint="cs"/>
                <w:rtl/>
              </w:rPr>
              <w:t xml:space="preserve"> </w:t>
            </w:r>
            <w:r>
              <w:rPr>
                <w:rtl/>
              </w:rPr>
              <w:t>מאגר מידע הדרוש לו לצורך מילוי תפקידיו לפי סעיפים 7(ב)(1) ו-(2)  לחוק, וזאת למעט מאגר הכולל רק מידע בעל רגישות מיוחדת, ולמעט מאגר שאפשרות קבלתו הוסדרה בדין אחר</w:t>
            </w:r>
            <w:r>
              <w:rPr>
                <w:rFonts w:hint="cs"/>
                <w:rtl/>
              </w:rPr>
              <w:t>.</w:t>
            </w:r>
          </w:p>
        </w:tc>
      </w:tr>
      <w:tr w:rsidR="004E6068" w14:paraId="7820D497" w14:textId="77777777" w:rsidTr="004E6068">
        <w:trPr>
          <w:cantSplit/>
          <w:trHeight w:val="60"/>
        </w:trPr>
        <w:tc>
          <w:tcPr>
            <w:tcW w:w="1870" w:type="dxa"/>
          </w:tcPr>
          <w:p w14:paraId="473D9CBA" w14:textId="77777777" w:rsidR="004E6068" w:rsidRDefault="004E6068">
            <w:pPr>
              <w:pStyle w:val="TableSideHeading"/>
            </w:pPr>
          </w:p>
        </w:tc>
        <w:tc>
          <w:tcPr>
            <w:tcW w:w="624" w:type="dxa"/>
          </w:tcPr>
          <w:p w14:paraId="21B25DEC" w14:textId="77777777" w:rsidR="004E6068" w:rsidRDefault="004E6068">
            <w:pPr>
              <w:pStyle w:val="TableText"/>
            </w:pPr>
          </w:p>
        </w:tc>
        <w:tc>
          <w:tcPr>
            <w:tcW w:w="624" w:type="dxa"/>
          </w:tcPr>
          <w:p w14:paraId="52C9E2C0" w14:textId="77777777" w:rsidR="004E6068" w:rsidRDefault="004E6068">
            <w:pPr>
              <w:pStyle w:val="TableText"/>
            </w:pPr>
          </w:p>
        </w:tc>
        <w:tc>
          <w:tcPr>
            <w:tcW w:w="624" w:type="dxa"/>
          </w:tcPr>
          <w:p w14:paraId="260CCC8C" w14:textId="77777777" w:rsidR="004E6068" w:rsidRDefault="004E6068">
            <w:pPr>
              <w:pStyle w:val="TableText"/>
            </w:pPr>
          </w:p>
        </w:tc>
        <w:tc>
          <w:tcPr>
            <w:tcW w:w="624" w:type="dxa"/>
          </w:tcPr>
          <w:p w14:paraId="540FE6CF" w14:textId="77777777" w:rsidR="004E6068" w:rsidRDefault="004E6068">
            <w:pPr>
              <w:pStyle w:val="TableText"/>
            </w:pPr>
          </w:p>
        </w:tc>
        <w:tc>
          <w:tcPr>
            <w:tcW w:w="624" w:type="dxa"/>
          </w:tcPr>
          <w:p w14:paraId="011665C6" w14:textId="77777777" w:rsidR="004E6068" w:rsidRDefault="004E6068">
            <w:pPr>
              <w:pStyle w:val="TableText"/>
            </w:pPr>
          </w:p>
        </w:tc>
        <w:tc>
          <w:tcPr>
            <w:tcW w:w="624" w:type="dxa"/>
          </w:tcPr>
          <w:p w14:paraId="534B16D9" w14:textId="77777777" w:rsidR="004E6068" w:rsidRDefault="004E6068">
            <w:pPr>
              <w:pStyle w:val="TableText"/>
            </w:pPr>
          </w:p>
        </w:tc>
        <w:tc>
          <w:tcPr>
            <w:tcW w:w="626" w:type="dxa"/>
          </w:tcPr>
          <w:p w14:paraId="23C1063B" w14:textId="7D846D22" w:rsidR="004E6068" w:rsidRDefault="004E6068" w:rsidP="00F44C09">
            <w:pPr>
              <w:pStyle w:val="TableBlock"/>
              <w:numPr>
                <w:ilvl w:val="0"/>
                <w:numId w:val="7"/>
              </w:numPr>
            </w:pPr>
          </w:p>
        </w:tc>
        <w:tc>
          <w:tcPr>
            <w:tcW w:w="3401" w:type="dxa"/>
          </w:tcPr>
          <w:p w14:paraId="02B86C56" w14:textId="1A7152FB" w:rsidR="004E6068" w:rsidRDefault="004E6068">
            <w:pPr>
              <w:pStyle w:val="TableBlock"/>
            </w:pPr>
            <w:r w:rsidRPr="00BB5940">
              <w:rPr>
                <w:rtl/>
              </w:rPr>
              <w:t xml:space="preserve">בקשת ראש השירות לפי סעיף זה תכלול פירוט בדבר האופן שבו יתקבל המאגר בשירות או ייאסף על-ידיו, בעל המאגר, מאפייני המאגר, המידע וסוגי הרשומות הקיימים במאגר והיקף הרשומות הקיימות בו והדרושים לשירות לצורך מילוי תפקידיו כאמור, </w:t>
            </w:r>
            <w:proofErr w:type="spellStart"/>
            <w:r w:rsidRPr="00BB5940">
              <w:rPr>
                <w:rtl/>
              </w:rPr>
              <w:t>הכל</w:t>
            </w:r>
            <w:proofErr w:type="spellEnd"/>
            <w:r w:rsidRPr="00BB5940">
              <w:rPr>
                <w:rtl/>
              </w:rPr>
              <w:t xml:space="preserve"> אם הם ידועים מראש, וכן נימוק בדבר הצורך בשימוש בנתונים מסוגים אלו, האופן בו ייעשה שימוש במאגר על-ידי השירות, הגורמים אשר יעשו בו שימוש והתקופה המבוקשת להחזקת המאגר.</w:t>
            </w:r>
          </w:p>
        </w:tc>
      </w:tr>
      <w:tr w:rsidR="004E6068" w14:paraId="30289079" w14:textId="77777777" w:rsidTr="004E6068">
        <w:trPr>
          <w:cantSplit/>
          <w:trHeight w:val="60"/>
        </w:trPr>
        <w:tc>
          <w:tcPr>
            <w:tcW w:w="1870" w:type="dxa"/>
          </w:tcPr>
          <w:p w14:paraId="33E3D1F1" w14:textId="77777777" w:rsidR="004E6068" w:rsidRDefault="004E6068">
            <w:pPr>
              <w:pStyle w:val="TableSideHeading"/>
            </w:pPr>
          </w:p>
        </w:tc>
        <w:tc>
          <w:tcPr>
            <w:tcW w:w="624" w:type="dxa"/>
          </w:tcPr>
          <w:p w14:paraId="45F9D81A" w14:textId="77777777" w:rsidR="004E6068" w:rsidRDefault="004E6068" w:rsidP="004E6068">
            <w:pPr>
              <w:pStyle w:val="TableText"/>
            </w:pPr>
          </w:p>
        </w:tc>
        <w:tc>
          <w:tcPr>
            <w:tcW w:w="624" w:type="dxa"/>
          </w:tcPr>
          <w:p w14:paraId="1CE43736" w14:textId="77777777" w:rsidR="004E6068" w:rsidRDefault="004E6068">
            <w:pPr>
              <w:pStyle w:val="TableText"/>
            </w:pPr>
          </w:p>
        </w:tc>
        <w:tc>
          <w:tcPr>
            <w:tcW w:w="624" w:type="dxa"/>
          </w:tcPr>
          <w:p w14:paraId="7A26DD51" w14:textId="77777777" w:rsidR="004E6068" w:rsidRDefault="004E6068">
            <w:pPr>
              <w:pStyle w:val="TableText"/>
            </w:pPr>
          </w:p>
        </w:tc>
        <w:tc>
          <w:tcPr>
            <w:tcW w:w="624" w:type="dxa"/>
          </w:tcPr>
          <w:p w14:paraId="4005704D" w14:textId="77777777" w:rsidR="004E6068" w:rsidRDefault="004E6068">
            <w:pPr>
              <w:pStyle w:val="TableText"/>
            </w:pPr>
          </w:p>
        </w:tc>
        <w:tc>
          <w:tcPr>
            <w:tcW w:w="624" w:type="dxa"/>
          </w:tcPr>
          <w:p w14:paraId="2BB207D3" w14:textId="77777777" w:rsidR="004E6068" w:rsidRDefault="004E6068">
            <w:pPr>
              <w:pStyle w:val="TableText"/>
            </w:pPr>
          </w:p>
        </w:tc>
        <w:tc>
          <w:tcPr>
            <w:tcW w:w="624" w:type="dxa"/>
          </w:tcPr>
          <w:p w14:paraId="67E2F8ED" w14:textId="77777777" w:rsidR="004E6068" w:rsidRDefault="004E6068">
            <w:pPr>
              <w:pStyle w:val="TableText"/>
            </w:pPr>
          </w:p>
        </w:tc>
        <w:tc>
          <w:tcPr>
            <w:tcW w:w="626" w:type="dxa"/>
          </w:tcPr>
          <w:p w14:paraId="09747CAF" w14:textId="77777777" w:rsidR="004E6068" w:rsidRDefault="004E6068" w:rsidP="00F44C09">
            <w:pPr>
              <w:pStyle w:val="TableBlock"/>
              <w:numPr>
                <w:ilvl w:val="0"/>
                <w:numId w:val="7"/>
              </w:numPr>
            </w:pPr>
          </w:p>
        </w:tc>
        <w:tc>
          <w:tcPr>
            <w:tcW w:w="3401" w:type="dxa"/>
          </w:tcPr>
          <w:p w14:paraId="54DFFE38" w14:textId="44E43A2B" w:rsidR="004E6068" w:rsidRPr="00BB5940" w:rsidRDefault="004E6068" w:rsidP="004E6068">
            <w:pPr>
              <w:pStyle w:val="TableBlock"/>
              <w:rPr>
                <w:rtl/>
              </w:rPr>
            </w:pPr>
            <w:r>
              <w:rPr>
                <w:rtl/>
              </w:rPr>
              <w:t>ראש הממשלה לא ייתן היתר לפי סעיף זה, אלא לאחר ששקל, בין היתר, את מידת הפגיעה בפרטיות, ושוכנע כי קבלת המאגר או איסופו דרושים לצורך מילוי תפקידי השירות כאמור וכי התועלת שתופק מהשימוש בו עולה, בנסיבות העניין, על מידת הפגיעה בפרטיות הכרוכה בכך; בהיתר יפורטו סוגי הרשומות המותרים לקבלה ולאיסוף והוא יינתן לתקופה שלא תעלה על 24 חודשים. ראש הממשלה יהיה רשאי לשוב ולחדש</w:t>
            </w:r>
            <w:r>
              <w:rPr>
                <w:rFonts w:hint="cs"/>
                <w:rtl/>
              </w:rPr>
              <w:t xml:space="preserve"> את ההיתר</w:t>
            </w:r>
            <w:r>
              <w:rPr>
                <w:rtl/>
              </w:rPr>
              <w:t>, לבקשת ראש השירות כאמור בסעיף קטן (2), לתקופה נוספת של עד 24 חודשים בכל פעם</w:t>
            </w:r>
            <w:r>
              <w:rPr>
                <w:rFonts w:hint="cs"/>
                <w:rtl/>
              </w:rPr>
              <w:t>.</w:t>
            </w:r>
          </w:p>
        </w:tc>
      </w:tr>
      <w:tr w:rsidR="004E6068" w14:paraId="3806CC20" w14:textId="77777777" w:rsidTr="004E6068">
        <w:trPr>
          <w:cantSplit/>
          <w:trHeight w:val="60"/>
        </w:trPr>
        <w:tc>
          <w:tcPr>
            <w:tcW w:w="1870" w:type="dxa"/>
          </w:tcPr>
          <w:p w14:paraId="58E60438" w14:textId="77777777" w:rsidR="004E6068" w:rsidRDefault="004E6068">
            <w:pPr>
              <w:pStyle w:val="TableSideHeading"/>
            </w:pPr>
          </w:p>
        </w:tc>
        <w:tc>
          <w:tcPr>
            <w:tcW w:w="624" w:type="dxa"/>
          </w:tcPr>
          <w:p w14:paraId="0B3CCC1D" w14:textId="77777777" w:rsidR="004E6068" w:rsidRDefault="004E6068" w:rsidP="004E6068">
            <w:pPr>
              <w:pStyle w:val="TableText"/>
            </w:pPr>
          </w:p>
        </w:tc>
        <w:tc>
          <w:tcPr>
            <w:tcW w:w="624" w:type="dxa"/>
          </w:tcPr>
          <w:p w14:paraId="366F1A00" w14:textId="77777777" w:rsidR="004E6068" w:rsidRDefault="004E6068">
            <w:pPr>
              <w:pStyle w:val="TableText"/>
            </w:pPr>
          </w:p>
        </w:tc>
        <w:tc>
          <w:tcPr>
            <w:tcW w:w="624" w:type="dxa"/>
          </w:tcPr>
          <w:p w14:paraId="5F4544F2" w14:textId="77777777" w:rsidR="004E6068" w:rsidRDefault="004E6068">
            <w:pPr>
              <w:pStyle w:val="TableText"/>
            </w:pPr>
          </w:p>
        </w:tc>
        <w:tc>
          <w:tcPr>
            <w:tcW w:w="624" w:type="dxa"/>
          </w:tcPr>
          <w:p w14:paraId="7F72D4AC" w14:textId="77777777" w:rsidR="004E6068" w:rsidRDefault="004E6068">
            <w:pPr>
              <w:pStyle w:val="TableText"/>
            </w:pPr>
          </w:p>
        </w:tc>
        <w:tc>
          <w:tcPr>
            <w:tcW w:w="624" w:type="dxa"/>
          </w:tcPr>
          <w:p w14:paraId="7355C5BD" w14:textId="77777777" w:rsidR="004E6068" w:rsidRDefault="004E6068">
            <w:pPr>
              <w:pStyle w:val="TableText"/>
            </w:pPr>
          </w:p>
        </w:tc>
        <w:tc>
          <w:tcPr>
            <w:tcW w:w="624" w:type="dxa"/>
          </w:tcPr>
          <w:p w14:paraId="3C8FDC38" w14:textId="77777777" w:rsidR="004E6068" w:rsidRDefault="004E6068">
            <w:pPr>
              <w:pStyle w:val="TableText"/>
            </w:pPr>
          </w:p>
        </w:tc>
        <w:tc>
          <w:tcPr>
            <w:tcW w:w="626" w:type="dxa"/>
          </w:tcPr>
          <w:p w14:paraId="76003438" w14:textId="77777777" w:rsidR="004E6068" w:rsidRDefault="004E6068" w:rsidP="00F44C09">
            <w:pPr>
              <w:pStyle w:val="TableBlock"/>
              <w:numPr>
                <w:ilvl w:val="0"/>
                <w:numId w:val="7"/>
              </w:numPr>
            </w:pPr>
          </w:p>
        </w:tc>
        <w:tc>
          <w:tcPr>
            <w:tcW w:w="3401" w:type="dxa"/>
          </w:tcPr>
          <w:p w14:paraId="00E04D6C" w14:textId="45006EFA" w:rsidR="004E6068" w:rsidRDefault="004E6068" w:rsidP="004E6068">
            <w:pPr>
              <w:pStyle w:val="TableBlock"/>
              <w:rPr>
                <w:rtl/>
              </w:rPr>
            </w:pPr>
            <w:r>
              <w:rPr>
                <w:rtl/>
              </w:rPr>
              <w:t>כלל מאגר מידע הן מידע בעל רגישות מיוחדת והן מידע שאינו בעל רגישות מיוחדת, לא יינתן היתר כאמור בסעיף זה אלא לעניין מידע שאינו בעל רגישות מיוחדת. לא ניתן היה לבצע הפרדה בין שני סוגי המידע כך שהמאגר יתקבל או ייאסף ללא מידע בעל רגישות מיוחדת, לא יינתן היתר לקבלו או לאוספו.</w:t>
            </w:r>
          </w:p>
        </w:tc>
      </w:tr>
      <w:tr w:rsidR="004E6068" w14:paraId="6342FBA7" w14:textId="77777777" w:rsidTr="002716E8">
        <w:trPr>
          <w:cantSplit/>
          <w:trHeight w:val="60"/>
        </w:trPr>
        <w:tc>
          <w:tcPr>
            <w:tcW w:w="1870" w:type="dxa"/>
          </w:tcPr>
          <w:p w14:paraId="52D56AC3" w14:textId="77777777" w:rsidR="004E6068" w:rsidRDefault="004E6068">
            <w:pPr>
              <w:pStyle w:val="TableSideHeading"/>
            </w:pPr>
          </w:p>
        </w:tc>
        <w:tc>
          <w:tcPr>
            <w:tcW w:w="624" w:type="dxa"/>
          </w:tcPr>
          <w:p w14:paraId="606D94C1" w14:textId="77777777" w:rsidR="004E6068" w:rsidRDefault="004E6068">
            <w:pPr>
              <w:pStyle w:val="TableText"/>
            </w:pPr>
          </w:p>
        </w:tc>
        <w:tc>
          <w:tcPr>
            <w:tcW w:w="624" w:type="dxa"/>
          </w:tcPr>
          <w:p w14:paraId="66F088C0" w14:textId="77777777" w:rsidR="004E6068" w:rsidRDefault="004E6068">
            <w:pPr>
              <w:pStyle w:val="TableText"/>
            </w:pPr>
          </w:p>
        </w:tc>
        <w:tc>
          <w:tcPr>
            <w:tcW w:w="624" w:type="dxa"/>
          </w:tcPr>
          <w:p w14:paraId="34BB2962" w14:textId="77777777" w:rsidR="004E6068" w:rsidRDefault="004E6068">
            <w:pPr>
              <w:pStyle w:val="TableText"/>
            </w:pPr>
          </w:p>
        </w:tc>
        <w:tc>
          <w:tcPr>
            <w:tcW w:w="624" w:type="dxa"/>
          </w:tcPr>
          <w:p w14:paraId="0B2F6334" w14:textId="77777777" w:rsidR="004E6068" w:rsidRDefault="004E6068">
            <w:pPr>
              <w:pStyle w:val="TableText"/>
            </w:pPr>
          </w:p>
        </w:tc>
        <w:tc>
          <w:tcPr>
            <w:tcW w:w="624" w:type="dxa"/>
          </w:tcPr>
          <w:p w14:paraId="33FD8A1F" w14:textId="77777777" w:rsidR="004E6068" w:rsidRDefault="004E6068">
            <w:pPr>
              <w:pStyle w:val="TableText"/>
            </w:pPr>
          </w:p>
        </w:tc>
        <w:tc>
          <w:tcPr>
            <w:tcW w:w="624" w:type="dxa"/>
          </w:tcPr>
          <w:p w14:paraId="20A8A500" w14:textId="5C674931" w:rsidR="004E6068" w:rsidRDefault="004E6068" w:rsidP="00F44C09">
            <w:pPr>
              <w:pStyle w:val="TableText"/>
              <w:numPr>
                <w:ilvl w:val="0"/>
                <w:numId w:val="6"/>
              </w:numPr>
              <w:tabs>
                <w:tab w:val="left" w:pos="624"/>
              </w:tabs>
              <w:jc w:val="both"/>
            </w:pPr>
          </w:p>
        </w:tc>
        <w:tc>
          <w:tcPr>
            <w:tcW w:w="626" w:type="dxa"/>
          </w:tcPr>
          <w:p w14:paraId="00CEAD65" w14:textId="568D634D" w:rsidR="004E6068" w:rsidRDefault="004E6068" w:rsidP="00F44C09">
            <w:pPr>
              <w:pStyle w:val="TableText"/>
              <w:numPr>
                <w:ilvl w:val="0"/>
                <w:numId w:val="8"/>
              </w:numPr>
              <w:tabs>
                <w:tab w:val="left" w:pos="624"/>
              </w:tabs>
              <w:jc w:val="both"/>
            </w:pPr>
          </w:p>
        </w:tc>
        <w:tc>
          <w:tcPr>
            <w:tcW w:w="3401" w:type="dxa"/>
          </w:tcPr>
          <w:p w14:paraId="13DEBE9B" w14:textId="31A64430" w:rsidR="004E6068" w:rsidRDefault="004E6068">
            <w:pPr>
              <w:pStyle w:val="TableBlock"/>
            </w:pPr>
            <w:r>
              <w:rPr>
                <w:rtl/>
              </w:rPr>
              <w:t>שוכנע ראש השירות כי קיים צורך דחוף בקבלת מאגר או באיסופו בידי השירות וכי אין סיפק לקבל מבעוד מועד היתר לפי סעיף קטן (ב), רשאי הוא להתיר לשירות</w:t>
            </w:r>
            <w:r>
              <w:rPr>
                <w:rFonts w:hint="cs"/>
                <w:rtl/>
              </w:rPr>
              <w:t xml:space="preserve"> </w:t>
            </w:r>
            <w:r>
              <w:rPr>
                <w:rtl/>
              </w:rPr>
              <w:t>לקבל או לאסוף את המאגר, ויחולו לעניין זה הוראות פסקאות (ב)(3) ו-(ב)(4) בשינויים המחויבים; ואולם, לא ייעשה שימוש במאגר אלא לאחר קבלת היתר מאת ראש הממשלה לפי סעיף זה.</w:t>
            </w:r>
          </w:p>
        </w:tc>
      </w:tr>
      <w:tr w:rsidR="004E6068" w14:paraId="20259264" w14:textId="77777777" w:rsidTr="002716E8">
        <w:trPr>
          <w:cantSplit/>
          <w:trHeight w:val="60"/>
        </w:trPr>
        <w:tc>
          <w:tcPr>
            <w:tcW w:w="1870" w:type="dxa"/>
          </w:tcPr>
          <w:p w14:paraId="6AA30AB0" w14:textId="77777777" w:rsidR="004E6068" w:rsidRDefault="004E6068">
            <w:pPr>
              <w:pStyle w:val="TableSideHeading"/>
            </w:pPr>
          </w:p>
        </w:tc>
        <w:tc>
          <w:tcPr>
            <w:tcW w:w="624" w:type="dxa"/>
          </w:tcPr>
          <w:p w14:paraId="0BDDE931" w14:textId="77777777" w:rsidR="004E6068" w:rsidRDefault="004E6068" w:rsidP="004E6068">
            <w:pPr>
              <w:pStyle w:val="TableText"/>
            </w:pPr>
          </w:p>
        </w:tc>
        <w:tc>
          <w:tcPr>
            <w:tcW w:w="624" w:type="dxa"/>
          </w:tcPr>
          <w:p w14:paraId="5B47BBD0" w14:textId="77777777" w:rsidR="004E6068" w:rsidRDefault="004E6068">
            <w:pPr>
              <w:pStyle w:val="TableText"/>
            </w:pPr>
          </w:p>
        </w:tc>
        <w:tc>
          <w:tcPr>
            <w:tcW w:w="624" w:type="dxa"/>
          </w:tcPr>
          <w:p w14:paraId="69FD118C" w14:textId="77777777" w:rsidR="004E6068" w:rsidRDefault="004E6068">
            <w:pPr>
              <w:pStyle w:val="TableText"/>
            </w:pPr>
          </w:p>
        </w:tc>
        <w:tc>
          <w:tcPr>
            <w:tcW w:w="624" w:type="dxa"/>
          </w:tcPr>
          <w:p w14:paraId="2C9712C9" w14:textId="77777777" w:rsidR="004E6068" w:rsidRDefault="004E6068">
            <w:pPr>
              <w:pStyle w:val="TableText"/>
            </w:pPr>
          </w:p>
        </w:tc>
        <w:tc>
          <w:tcPr>
            <w:tcW w:w="624" w:type="dxa"/>
          </w:tcPr>
          <w:p w14:paraId="3AB86437" w14:textId="77777777" w:rsidR="004E6068" w:rsidRDefault="004E6068">
            <w:pPr>
              <w:pStyle w:val="TableText"/>
            </w:pPr>
          </w:p>
        </w:tc>
        <w:tc>
          <w:tcPr>
            <w:tcW w:w="624" w:type="dxa"/>
          </w:tcPr>
          <w:p w14:paraId="4EE9587D" w14:textId="77777777" w:rsidR="004E6068" w:rsidRDefault="004E6068">
            <w:pPr>
              <w:pStyle w:val="TableText"/>
              <w:rPr>
                <w:rtl/>
              </w:rPr>
            </w:pPr>
          </w:p>
        </w:tc>
        <w:tc>
          <w:tcPr>
            <w:tcW w:w="626" w:type="dxa"/>
          </w:tcPr>
          <w:p w14:paraId="68F48A53" w14:textId="6FF57696" w:rsidR="004E6068" w:rsidRDefault="004E6068" w:rsidP="00F44C09">
            <w:pPr>
              <w:pStyle w:val="TableText"/>
              <w:numPr>
                <w:ilvl w:val="0"/>
                <w:numId w:val="8"/>
              </w:numPr>
              <w:tabs>
                <w:tab w:val="left" w:pos="624"/>
              </w:tabs>
              <w:jc w:val="both"/>
              <w:rPr>
                <w:rtl/>
              </w:rPr>
            </w:pPr>
          </w:p>
        </w:tc>
        <w:tc>
          <w:tcPr>
            <w:tcW w:w="3401" w:type="dxa"/>
          </w:tcPr>
          <w:p w14:paraId="086B86F8" w14:textId="26C31849" w:rsidR="004E6068" w:rsidRDefault="004E6068">
            <w:pPr>
              <w:pStyle w:val="TableBlock"/>
              <w:rPr>
                <w:rtl/>
              </w:rPr>
            </w:pPr>
            <w:r>
              <w:rPr>
                <w:rtl/>
              </w:rPr>
              <w:t>נתן ראש השירות היתר לפי סעיף קטן זה יודיע על כך מיד ליועץ המשפטי לממשלה ולראש הממשלה אשר יהיה רשאי לבטל את ההיתר</w:t>
            </w:r>
            <w:r>
              <w:rPr>
                <w:rFonts w:hint="cs"/>
                <w:rtl/>
              </w:rPr>
              <w:t>.</w:t>
            </w:r>
          </w:p>
        </w:tc>
      </w:tr>
      <w:tr w:rsidR="002716E8" w14:paraId="398FB5C2" w14:textId="77777777" w:rsidTr="00793AC6">
        <w:trPr>
          <w:cantSplit/>
          <w:trHeight w:val="60"/>
        </w:trPr>
        <w:tc>
          <w:tcPr>
            <w:tcW w:w="1870" w:type="dxa"/>
          </w:tcPr>
          <w:p w14:paraId="732D99FB" w14:textId="77777777" w:rsidR="002716E8" w:rsidRDefault="002716E8">
            <w:pPr>
              <w:pStyle w:val="TableSideHeading"/>
            </w:pPr>
          </w:p>
        </w:tc>
        <w:tc>
          <w:tcPr>
            <w:tcW w:w="624" w:type="dxa"/>
          </w:tcPr>
          <w:p w14:paraId="37792E44" w14:textId="77777777" w:rsidR="002716E8" w:rsidRDefault="002716E8">
            <w:pPr>
              <w:pStyle w:val="TableText"/>
            </w:pPr>
          </w:p>
        </w:tc>
        <w:tc>
          <w:tcPr>
            <w:tcW w:w="624" w:type="dxa"/>
          </w:tcPr>
          <w:p w14:paraId="3EF0B8C0" w14:textId="77777777" w:rsidR="002716E8" w:rsidRDefault="002716E8">
            <w:pPr>
              <w:pStyle w:val="TableText"/>
            </w:pPr>
          </w:p>
        </w:tc>
        <w:tc>
          <w:tcPr>
            <w:tcW w:w="624" w:type="dxa"/>
          </w:tcPr>
          <w:p w14:paraId="33EC739E" w14:textId="77777777" w:rsidR="002716E8" w:rsidRDefault="002716E8">
            <w:pPr>
              <w:pStyle w:val="TableText"/>
            </w:pPr>
          </w:p>
        </w:tc>
        <w:tc>
          <w:tcPr>
            <w:tcW w:w="624" w:type="dxa"/>
          </w:tcPr>
          <w:p w14:paraId="111C5463" w14:textId="77777777" w:rsidR="002716E8" w:rsidRDefault="002716E8">
            <w:pPr>
              <w:pStyle w:val="TableText"/>
            </w:pPr>
          </w:p>
        </w:tc>
        <w:tc>
          <w:tcPr>
            <w:tcW w:w="624" w:type="dxa"/>
          </w:tcPr>
          <w:p w14:paraId="06DE013B" w14:textId="77777777" w:rsidR="002716E8" w:rsidRDefault="002716E8">
            <w:pPr>
              <w:pStyle w:val="TableText"/>
            </w:pPr>
          </w:p>
        </w:tc>
        <w:tc>
          <w:tcPr>
            <w:tcW w:w="624" w:type="dxa"/>
          </w:tcPr>
          <w:p w14:paraId="0DE1EECE" w14:textId="732B3F84" w:rsidR="002716E8" w:rsidRDefault="002716E8" w:rsidP="00F44C09">
            <w:pPr>
              <w:pStyle w:val="TableText"/>
              <w:numPr>
                <w:ilvl w:val="0"/>
                <w:numId w:val="6"/>
              </w:numPr>
            </w:pPr>
          </w:p>
        </w:tc>
        <w:tc>
          <w:tcPr>
            <w:tcW w:w="4027" w:type="dxa"/>
            <w:gridSpan w:val="2"/>
          </w:tcPr>
          <w:p w14:paraId="2F931B6B" w14:textId="75B92637" w:rsidR="002716E8" w:rsidRDefault="002716E8" w:rsidP="002716E8">
            <w:pPr>
              <w:pStyle w:val="TableBlock"/>
            </w:pPr>
            <w:r>
              <w:rPr>
                <w:rtl/>
              </w:rPr>
              <w:t xml:space="preserve">קבלת מאגר מידע או איסוף מאגר מידע לפי סעיף זה יעשו בהתאם לסמכויות השירות לקבלה ולאיסוף מידע לפי כל דין; לא ייאסף מאגר מידע כאמור אלא בנסיבות שבהן לא ניתן באופן סביר לקבלו. </w:t>
            </w:r>
          </w:p>
        </w:tc>
      </w:tr>
      <w:tr w:rsidR="002716E8" w14:paraId="519DD040" w14:textId="77777777" w:rsidTr="00793AC6">
        <w:trPr>
          <w:cantSplit/>
          <w:trHeight w:val="60"/>
        </w:trPr>
        <w:tc>
          <w:tcPr>
            <w:tcW w:w="1870" w:type="dxa"/>
          </w:tcPr>
          <w:p w14:paraId="5AFC025E" w14:textId="77777777" w:rsidR="002716E8" w:rsidRDefault="002716E8">
            <w:pPr>
              <w:pStyle w:val="TableSideHeading"/>
            </w:pPr>
          </w:p>
        </w:tc>
        <w:tc>
          <w:tcPr>
            <w:tcW w:w="624" w:type="dxa"/>
          </w:tcPr>
          <w:p w14:paraId="10F3A9B1" w14:textId="77777777" w:rsidR="002716E8" w:rsidRDefault="002716E8">
            <w:pPr>
              <w:pStyle w:val="TableText"/>
            </w:pPr>
          </w:p>
        </w:tc>
        <w:tc>
          <w:tcPr>
            <w:tcW w:w="624" w:type="dxa"/>
          </w:tcPr>
          <w:p w14:paraId="6EC1A119" w14:textId="77777777" w:rsidR="002716E8" w:rsidRDefault="002716E8">
            <w:pPr>
              <w:pStyle w:val="TableText"/>
            </w:pPr>
          </w:p>
        </w:tc>
        <w:tc>
          <w:tcPr>
            <w:tcW w:w="624" w:type="dxa"/>
          </w:tcPr>
          <w:p w14:paraId="154E25F5" w14:textId="77777777" w:rsidR="002716E8" w:rsidRDefault="002716E8">
            <w:pPr>
              <w:pStyle w:val="TableText"/>
            </w:pPr>
          </w:p>
        </w:tc>
        <w:tc>
          <w:tcPr>
            <w:tcW w:w="624" w:type="dxa"/>
          </w:tcPr>
          <w:p w14:paraId="7212F4CD" w14:textId="77777777" w:rsidR="002716E8" w:rsidRDefault="002716E8">
            <w:pPr>
              <w:pStyle w:val="TableText"/>
            </w:pPr>
          </w:p>
        </w:tc>
        <w:tc>
          <w:tcPr>
            <w:tcW w:w="624" w:type="dxa"/>
          </w:tcPr>
          <w:p w14:paraId="5C4663A4" w14:textId="77777777" w:rsidR="002716E8" w:rsidRDefault="002716E8">
            <w:pPr>
              <w:pStyle w:val="TableText"/>
            </w:pPr>
          </w:p>
        </w:tc>
        <w:tc>
          <w:tcPr>
            <w:tcW w:w="624" w:type="dxa"/>
          </w:tcPr>
          <w:p w14:paraId="13697E7F" w14:textId="438409DC" w:rsidR="002716E8" w:rsidRDefault="002716E8" w:rsidP="00F44C09">
            <w:pPr>
              <w:pStyle w:val="TableText"/>
              <w:numPr>
                <w:ilvl w:val="0"/>
                <w:numId w:val="6"/>
              </w:numPr>
            </w:pPr>
          </w:p>
        </w:tc>
        <w:tc>
          <w:tcPr>
            <w:tcW w:w="626" w:type="dxa"/>
          </w:tcPr>
          <w:p w14:paraId="51268189" w14:textId="77777777" w:rsidR="002716E8" w:rsidRDefault="002716E8" w:rsidP="00F44C09">
            <w:pPr>
              <w:pStyle w:val="TableText"/>
              <w:numPr>
                <w:ilvl w:val="0"/>
                <w:numId w:val="9"/>
              </w:numPr>
              <w:tabs>
                <w:tab w:val="left" w:pos="624"/>
              </w:tabs>
              <w:jc w:val="both"/>
            </w:pPr>
          </w:p>
        </w:tc>
        <w:tc>
          <w:tcPr>
            <w:tcW w:w="3401" w:type="dxa"/>
          </w:tcPr>
          <w:p w14:paraId="4D4455D6" w14:textId="6175FD30" w:rsidR="002716E8" w:rsidRDefault="002716E8" w:rsidP="002716E8">
            <w:pPr>
              <w:pStyle w:val="TableBlock"/>
            </w:pPr>
            <w:r>
              <w:rPr>
                <w:rtl/>
              </w:rPr>
              <w:t xml:space="preserve">ניתן היתר לפי סעיף קטן (ב), השירות יהיה רשאי לעשות במאגר המידע שהתקבל או שנאסף שימוש לצורך מילוי כלל תפקידיו לפי החוק; שימוש במידע שלא לצורך תפקידי השירות לפי סעיפים 7(ב)(1) ו-7(ב)(2) ייעשה בהתאם לכללים שייקבעו ובאופן שיצמצם את מידת הפגיעה בפרטיות. </w:t>
            </w:r>
          </w:p>
        </w:tc>
      </w:tr>
      <w:tr w:rsidR="002716E8" w14:paraId="75075D95" w14:textId="77777777" w:rsidTr="00793AC6">
        <w:trPr>
          <w:cantSplit/>
          <w:trHeight w:val="60"/>
        </w:trPr>
        <w:tc>
          <w:tcPr>
            <w:tcW w:w="1870" w:type="dxa"/>
          </w:tcPr>
          <w:p w14:paraId="42A51453" w14:textId="77777777" w:rsidR="002716E8" w:rsidRDefault="002716E8">
            <w:pPr>
              <w:pStyle w:val="TableSideHeading"/>
            </w:pPr>
          </w:p>
        </w:tc>
        <w:tc>
          <w:tcPr>
            <w:tcW w:w="624" w:type="dxa"/>
          </w:tcPr>
          <w:p w14:paraId="52099B2E" w14:textId="77777777" w:rsidR="002716E8" w:rsidRDefault="002716E8" w:rsidP="002716E8">
            <w:pPr>
              <w:pStyle w:val="TableText"/>
            </w:pPr>
          </w:p>
        </w:tc>
        <w:tc>
          <w:tcPr>
            <w:tcW w:w="624" w:type="dxa"/>
          </w:tcPr>
          <w:p w14:paraId="5593042F" w14:textId="77777777" w:rsidR="002716E8" w:rsidRDefault="002716E8">
            <w:pPr>
              <w:pStyle w:val="TableText"/>
            </w:pPr>
          </w:p>
        </w:tc>
        <w:tc>
          <w:tcPr>
            <w:tcW w:w="624" w:type="dxa"/>
          </w:tcPr>
          <w:p w14:paraId="04145C10" w14:textId="77777777" w:rsidR="002716E8" w:rsidRDefault="002716E8">
            <w:pPr>
              <w:pStyle w:val="TableText"/>
            </w:pPr>
          </w:p>
        </w:tc>
        <w:tc>
          <w:tcPr>
            <w:tcW w:w="624" w:type="dxa"/>
          </w:tcPr>
          <w:p w14:paraId="1C1C9540" w14:textId="77777777" w:rsidR="002716E8" w:rsidRDefault="002716E8">
            <w:pPr>
              <w:pStyle w:val="TableText"/>
            </w:pPr>
          </w:p>
        </w:tc>
        <w:tc>
          <w:tcPr>
            <w:tcW w:w="624" w:type="dxa"/>
          </w:tcPr>
          <w:p w14:paraId="0F967E03" w14:textId="77777777" w:rsidR="002716E8" w:rsidRDefault="002716E8">
            <w:pPr>
              <w:pStyle w:val="TableText"/>
            </w:pPr>
          </w:p>
        </w:tc>
        <w:tc>
          <w:tcPr>
            <w:tcW w:w="624" w:type="dxa"/>
          </w:tcPr>
          <w:p w14:paraId="1B6CF0B0" w14:textId="77777777" w:rsidR="002716E8" w:rsidRDefault="002716E8" w:rsidP="002716E8">
            <w:pPr>
              <w:pStyle w:val="TableText"/>
              <w:tabs>
                <w:tab w:val="clear" w:pos="624"/>
              </w:tabs>
            </w:pPr>
          </w:p>
        </w:tc>
        <w:tc>
          <w:tcPr>
            <w:tcW w:w="626" w:type="dxa"/>
          </w:tcPr>
          <w:p w14:paraId="3D5A613C" w14:textId="77777777" w:rsidR="002716E8" w:rsidRDefault="002716E8" w:rsidP="00F44C09">
            <w:pPr>
              <w:pStyle w:val="TableText"/>
              <w:numPr>
                <w:ilvl w:val="0"/>
                <w:numId w:val="9"/>
              </w:numPr>
              <w:tabs>
                <w:tab w:val="left" w:pos="624"/>
              </w:tabs>
              <w:jc w:val="both"/>
            </w:pPr>
          </w:p>
        </w:tc>
        <w:tc>
          <w:tcPr>
            <w:tcW w:w="3401" w:type="dxa"/>
          </w:tcPr>
          <w:p w14:paraId="4F5117B5" w14:textId="251CE2E7" w:rsidR="002716E8" w:rsidRDefault="002716E8" w:rsidP="002716E8">
            <w:pPr>
              <w:pStyle w:val="TableBlock"/>
              <w:rPr>
                <w:rtl/>
              </w:rPr>
            </w:pPr>
            <w:r>
              <w:rPr>
                <w:rtl/>
              </w:rPr>
              <w:t>השימוש במידע ייעשה רק על-ידי בעלי תפקידים בשירות שהוסמכו לכך על-ידי ראש השירות, לאחר ששוכנע כי הדבר דרוש לצרכי מילוי התפקיד; בהסמכה יפורטו השימוש הנדרש במאגר והתכליות שלשמן ניתן יהיה לעשות בו שימוש; ההסמכה תהיה לתקופת מילוי התפקיד, ולא תעלה על 12 חודשים,</w:t>
            </w:r>
            <w:r>
              <w:rPr>
                <w:rFonts w:hint="cs"/>
                <w:rtl/>
              </w:rPr>
              <w:t xml:space="preserve"> </w:t>
            </w:r>
            <w:r>
              <w:rPr>
                <w:rtl/>
              </w:rPr>
              <w:t>ואולם רשאי ראש השירות לשוב ולחדשה לפי הוראות סעיף קטן זה.</w:t>
            </w:r>
          </w:p>
        </w:tc>
      </w:tr>
      <w:tr w:rsidR="002716E8" w14:paraId="58D8CE31" w14:textId="77777777" w:rsidTr="00793AC6">
        <w:trPr>
          <w:cantSplit/>
          <w:trHeight w:val="60"/>
        </w:trPr>
        <w:tc>
          <w:tcPr>
            <w:tcW w:w="1870" w:type="dxa"/>
          </w:tcPr>
          <w:p w14:paraId="60398C5C" w14:textId="77777777" w:rsidR="002716E8" w:rsidRDefault="002716E8">
            <w:pPr>
              <w:pStyle w:val="TableSideHeading"/>
            </w:pPr>
          </w:p>
        </w:tc>
        <w:tc>
          <w:tcPr>
            <w:tcW w:w="624" w:type="dxa"/>
          </w:tcPr>
          <w:p w14:paraId="1ACA9A76" w14:textId="77777777" w:rsidR="002716E8" w:rsidRDefault="002716E8">
            <w:pPr>
              <w:pStyle w:val="TableText"/>
            </w:pPr>
          </w:p>
        </w:tc>
        <w:tc>
          <w:tcPr>
            <w:tcW w:w="624" w:type="dxa"/>
          </w:tcPr>
          <w:p w14:paraId="69947010" w14:textId="77777777" w:rsidR="002716E8" w:rsidRDefault="002716E8">
            <w:pPr>
              <w:pStyle w:val="TableText"/>
            </w:pPr>
          </w:p>
        </w:tc>
        <w:tc>
          <w:tcPr>
            <w:tcW w:w="624" w:type="dxa"/>
          </w:tcPr>
          <w:p w14:paraId="7E9C15C9" w14:textId="77777777" w:rsidR="002716E8" w:rsidRDefault="002716E8">
            <w:pPr>
              <w:pStyle w:val="TableText"/>
            </w:pPr>
          </w:p>
        </w:tc>
        <w:tc>
          <w:tcPr>
            <w:tcW w:w="624" w:type="dxa"/>
          </w:tcPr>
          <w:p w14:paraId="44FCC983" w14:textId="77777777" w:rsidR="002716E8" w:rsidRDefault="002716E8">
            <w:pPr>
              <w:pStyle w:val="TableText"/>
            </w:pPr>
          </w:p>
        </w:tc>
        <w:tc>
          <w:tcPr>
            <w:tcW w:w="624" w:type="dxa"/>
          </w:tcPr>
          <w:p w14:paraId="30CB8C6B" w14:textId="77777777" w:rsidR="002716E8" w:rsidRDefault="002716E8">
            <w:pPr>
              <w:pStyle w:val="TableText"/>
            </w:pPr>
          </w:p>
        </w:tc>
        <w:tc>
          <w:tcPr>
            <w:tcW w:w="624" w:type="dxa"/>
          </w:tcPr>
          <w:p w14:paraId="0BD6B8F2" w14:textId="04B3D922" w:rsidR="002716E8" w:rsidRDefault="002716E8" w:rsidP="00F44C09">
            <w:pPr>
              <w:pStyle w:val="TableText"/>
              <w:numPr>
                <w:ilvl w:val="0"/>
                <w:numId w:val="6"/>
              </w:numPr>
            </w:pPr>
          </w:p>
        </w:tc>
        <w:tc>
          <w:tcPr>
            <w:tcW w:w="4027" w:type="dxa"/>
            <w:gridSpan w:val="2"/>
          </w:tcPr>
          <w:p w14:paraId="4781C7BF" w14:textId="71B75323" w:rsidR="002716E8" w:rsidRDefault="002716E8">
            <w:pPr>
              <w:pStyle w:val="TableBlock"/>
            </w:pPr>
            <w:r>
              <w:rPr>
                <w:rtl/>
              </w:rPr>
              <w:t>כלל מאגר מידע אמצעי ביומטרי שניתן להפיק ממנו נתון ביומטרי, השירות יהיה רשאי להפיק נתון כאמור ולעשות בו שימוש על בסיס צורך פרטני בלבד ובכפוף לאמור בכללים לעניין צמצום הפגיעה בפרטיות.</w:t>
            </w:r>
          </w:p>
        </w:tc>
      </w:tr>
      <w:tr w:rsidR="002716E8" w14:paraId="75992765" w14:textId="77777777" w:rsidTr="00793AC6">
        <w:trPr>
          <w:cantSplit/>
          <w:trHeight w:val="60"/>
        </w:trPr>
        <w:tc>
          <w:tcPr>
            <w:tcW w:w="1870" w:type="dxa"/>
          </w:tcPr>
          <w:p w14:paraId="3884EC0F" w14:textId="77777777" w:rsidR="002716E8" w:rsidRDefault="002716E8">
            <w:pPr>
              <w:pStyle w:val="TableSideHeading"/>
            </w:pPr>
          </w:p>
        </w:tc>
        <w:tc>
          <w:tcPr>
            <w:tcW w:w="624" w:type="dxa"/>
          </w:tcPr>
          <w:p w14:paraId="5E60CC98" w14:textId="77777777" w:rsidR="002716E8" w:rsidRDefault="002716E8" w:rsidP="002716E8">
            <w:pPr>
              <w:pStyle w:val="TableText"/>
            </w:pPr>
          </w:p>
        </w:tc>
        <w:tc>
          <w:tcPr>
            <w:tcW w:w="624" w:type="dxa"/>
          </w:tcPr>
          <w:p w14:paraId="4295D88E" w14:textId="77777777" w:rsidR="002716E8" w:rsidRDefault="002716E8">
            <w:pPr>
              <w:pStyle w:val="TableText"/>
            </w:pPr>
          </w:p>
        </w:tc>
        <w:tc>
          <w:tcPr>
            <w:tcW w:w="624" w:type="dxa"/>
          </w:tcPr>
          <w:p w14:paraId="09A1AAA9" w14:textId="77777777" w:rsidR="002716E8" w:rsidRDefault="002716E8">
            <w:pPr>
              <w:pStyle w:val="TableText"/>
            </w:pPr>
          </w:p>
        </w:tc>
        <w:tc>
          <w:tcPr>
            <w:tcW w:w="624" w:type="dxa"/>
          </w:tcPr>
          <w:p w14:paraId="1A1CDE87" w14:textId="77777777" w:rsidR="002716E8" w:rsidRDefault="002716E8">
            <w:pPr>
              <w:pStyle w:val="TableText"/>
            </w:pPr>
          </w:p>
        </w:tc>
        <w:tc>
          <w:tcPr>
            <w:tcW w:w="624" w:type="dxa"/>
          </w:tcPr>
          <w:p w14:paraId="60919F4F" w14:textId="77777777" w:rsidR="002716E8" w:rsidRDefault="002716E8">
            <w:pPr>
              <w:pStyle w:val="TableText"/>
            </w:pPr>
          </w:p>
        </w:tc>
        <w:tc>
          <w:tcPr>
            <w:tcW w:w="624" w:type="dxa"/>
          </w:tcPr>
          <w:p w14:paraId="4D99715D" w14:textId="77777777" w:rsidR="002716E8" w:rsidRDefault="002716E8" w:rsidP="00F44C09">
            <w:pPr>
              <w:pStyle w:val="TableText"/>
              <w:numPr>
                <w:ilvl w:val="0"/>
                <w:numId w:val="6"/>
              </w:numPr>
            </w:pPr>
          </w:p>
        </w:tc>
        <w:tc>
          <w:tcPr>
            <w:tcW w:w="4027" w:type="dxa"/>
            <w:gridSpan w:val="2"/>
          </w:tcPr>
          <w:p w14:paraId="129EEA8F" w14:textId="437E8F59" w:rsidR="002716E8" w:rsidRDefault="002716E8">
            <w:pPr>
              <w:pStyle w:val="TableBlock"/>
              <w:rPr>
                <w:rtl/>
              </w:rPr>
            </w:pPr>
            <w:r>
              <w:rPr>
                <w:rtl/>
              </w:rPr>
              <w:t xml:space="preserve">ראש השירות ימסור לראש הממשלה וליועץ המשפטי לממשלה – אחת לשלושה חודשים, ולוועדת הכנסת לענייני השירות – אחת לשנה, דיווח על מאגרים שהתקבלו או נאספו לפי סעיף זה; הדיווח יכלול פרטים </w:t>
            </w:r>
            <w:r>
              <w:rPr>
                <w:rFonts w:hint="cs"/>
                <w:rtl/>
              </w:rPr>
              <w:t xml:space="preserve">על </w:t>
            </w:r>
            <w:r>
              <w:rPr>
                <w:rtl/>
              </w:rPr>
              <w:t xml:space="preserve">אודות המידע הנמצא בכל מאגר, השימוש שהשירות עשה במאגר ובמידע הכלול בו לצורך מילוי תפקידיו, הערכה בדבר מידת התועלת של כל מאגר למימוש תפקידי השירות ומספר </w:t>
            </w:r>
            <w:proofErr w:type="spellStart"/>
            <w:r>
              <w:rPr>
                <w:rtl/>
              </w:rPr>
              <w:t>ההסמכות</w:t>
            </w:r>
            <w:proofErr w:type="spellEnd"/>
            <w:r>
              <w:rPr>
                <w:rtl/>
              </w:rPr>
              <w:t xml:space="preserve"> שניתנו לבעלי תפקידים בשירות לפי סעיף קטן (ד).</w:t>
            </w:r>
          </w:p>
        </w:tc>
      </w:tr>
      <w:tr w:rsidR="002716E8" w14:paraId="43DBC936" w14:textId="77777777" w:rsidTr="00793AC6">
        <w:trPr>
          <w:cantSplit/>
          <w:trHeight w:val="60"/>
        </w:trPr>
        <w:tc>
          <w:tcPr>
            <w:tcW w:w="1870" w:type="dxa"/>
          </w:tcPr>
          <w:p w14:paraId="355BA9BD" w14:textId="77777777" w:rsidR="002716E8" w:rsidRDefault="002716E8">
            <w:pPr>
              <w:pStyle w:val="TableSideHeading"/>
            </w:pPr>
          </w:p>
        </w:tc>
        <w:tc>
          <w:tcPr>
            <w:tcW w:w="624" w:type="dxa"/>
          </w:tcPr>
          <w:p w14:paraId="188B8D4E" w14:textId="77777777" w:rsidR="002716E8" w:rsidRDefault="002716E8" w:rsidP="002716E8">
            <w:pPr>
              <w:pStyle w:val="TableText"/>
            </w:pPr>
          </w:p>
        </w:tc>
        <w:tc>
          <w:tcPr>
            <w:tcW w:w="624" w:type="dxa"/>
          </w:tcPr>
          <w:p w14:paraId="3CB8B46A" w14:textId="77777777" w:rsidR="002716E8" w:rsidRDefault="002716E8">
            <w:pPr>
              <w:pStyle w:val="TableText"/>
            </w:pPr>
          </w:p>
        </w:tc>
        <w:tc>
          <w:tcPr>
            <w:tcW w:w="624" w:type="dxa"/>
          </w:tcPr>
          <w:p w14:paraId="14EE2080" w14:textId="77777777" w:rsidR="002716E8" w:rsidRDefault="002716E8">
            <w:pPr>
              <w:pStyle w:val="TableText"/>
            </w:pPr>
          </w:p>
        </w:tc>
        <w:tc>
          <w:tcPr>
            <w:tcW w:w="624" w:type="dxa"/>
          </w:tcPr>
          <w:p w14:paraId="0E6187C0" w14:textId="77777777" w:rsidR="002716E8" w:rsidRDefault="002716E8">
            <w:pPr>
              <w:pStyle w:val="TableText"/>
            </w:pPr>
          </w:p>
        </w:tc>
        <w:tc>
          <w:tcPr>
            <w:tcW w:w="624" w:type="dxa"/>
          </w:tcPr>
          <w:p w14:paraId="4EA17B89" w14:textId="77777777" w:rsidR="002716E8" w:rsidRDefault="002716E8">
            <w:pPr>
              <w:pStyle w:val="TableText"/>
            </w:pPr>
          </w:p>
        </w:tc>
        <w:tc>
          <w:tcPr>
            <w:tcW w:w="624" w:type="dxa"/>
          </w:tcPr>
          <w:p w14:paraId="240D05BF" w14:textId="77777777" w:rsidR="002716E8" w:rsidRDefault="002716E8" w:rsidP="00F44C09">
            <w:pPr>
              <w:pStyle w:val="TableText"/>
              <w:numPr>
                <w:ilvl w:val="0"/>
                <w:numId w:val="6"/>
              </w:numPr>
            </w:pPr>
          </w:p>
        </w:tc>
        <w:tc>
          <w:tcPr>
            <w:tcW w:w="4027" w:type="dxa"/>
            <w:gridSpan w:val="2"/>
          </w:tcPr>
          <w:p w14:paraId="22A23519" w14:textId="642F5219" w:rsidR="002716E8" w:rsidRDefault="002716E8">
            <w:pPr>
              <w:pStyle w:val="TableBlock"/>
              <w:rPr>
                <w:rtl/>
              </w:rPr>
            </w:pPr>
            <w:r>
              <w:rPr>
                <w:rtl/>
              </w:rPr>
              <w:t>אין בסעיף זה כדי לגרוע מסמכותו של השירות לקבל מידע או מאגר מידע שהוא רשאי לקבלו לפי כל דין אחר.</w:t>
            </w:r>
            <w:r w:rsidR="00725080">
              <w:rPr>
                <w:rFonts w:hint="cs"/>
                <w:rtl/>
              </w:rPr>
              <w:t>".</w:t>
            </w:r>
          </w:p>
        </w:tc>
      </w:tr>
      <w:tr w:rsidR="001A4BDA" w14:paraId="47F4DF8F" w14:textId="77777777" w:rsidTr="00793AC6">
        <w:trPr>
          <w:cantSplit/>
          <w:trHeight w:val="60"/>
        </w:trPr>
        <w:tc>
          <w:tcPr>
            <w:tcW w:w="1870" w:type="dxa"/>
          </w:tcPr>
          <w:p w14:paraId="3FED0079" w14:textId="59FFFB80" w:rsidR="001A4BDA" w:rsidRDefault="003445B7" w:rsidP="007E751D">
            <w:pPr>
              <w:pStyle w:val="TableSideHeading"/>
              <w:keepLines w:val="0"/>
            </w:pPr>
            <w:r>
              <w:rPr>
                <w:rFonts w:hint="cs"/>
                <w:rtl/>
              </w:rPr>
              <w:t>הוספת סעיף 8ב</w:t>
            </w:r>
          </w:p>
        </w:tc>
        <w:tc>
          <w:tcPr>
            <w:tcW w:w="624" w:type="dxa"/>
          </w:tcPr>
          <w:p w14:paraId="0237F548" w14:textId="22A68143" w:rsidR="001A4BDA" w:rsidRDefault="003445B7" w:rsidP="003445B7">
            <w:pPr>
              <w:pStyle w:val="TableText"/>
              <w:keepLines w:val="0"/>
            </w:pPr>
            <w:r>
              <w:rPr>
                <w:rFonts w:hint="cs"/>
                <w:rtl/>
              </w:rPr>
              <w:t>5.</w:t>
            </w:r>
          </w:p>
        </w:tc>
        <w:tc>
          <w:tcPr>
            <w:tcW w:w="7147" w:type="dxa"/>
            <w:gridSpan w:val="7"/>
          </w:tcPr>
          <w:p w14:paraId="37C97E09" w14:textId="28D28138" w:rsidR="001A4BDA" w:rsidRPr="00C34DE2" w:rsidRDefault="003445B7" w:rsidP="007E751D">
            <w:pPr>
              <w:pStyle w:val="TableBlock"/>
              <w:keepLines w:val="0"/>
            </w:pPr>
            <w:r>
              <w:rPr>
                <w:rFonts w:hint="cs"/>
                <w:rtl/>
              </w:rPr>
              <w:t>אחרי סעיף 8א המוצע יבוא:</w:t>
            </w:r>
          </w:p>
        </w:tc>
      </w:tr>
      <w:tr w:rsidR="00375E21" w14:paraId="5BF7F671" w14:textId="77777777" w:rsidTr="00375E21">
        <w:trPr>
          <w:cantSplit/>
          <w:trHeight w:val="60"/>
        </w:trPr>
        <w:tc>
          <w:tcPr>
            <w:tcW w:w="1870" w:type="dxa"/>
          </w:tcPr>
          <w:p w14:paraId="390A8A87" w14:textId="77777777" w:rsidR="00375E21" w:rsidRDefault="00375E21">
            <w:pPr>
              <w:pStyle w:val="TableSideHeading"/>
            </w:pPr>
          </w:p>
        </w:tc>
        <w:tc>
          <w:tcPr>
            <w:tcW w:w="624" w:type="dxa"/>
          </w:tcPr>
          <w:p w14:paraId="647133F5" w14:textId="77777777" w:rsidR="00375E21" w:rsidRDefault="00375E21">
            <w:pPr>
              <w:pStyle w:val="TableText"/>
            </w:pPr>
          </w:p>
        </w:tc>
        <w:tc>
          <w:tcPr>
            <w:tcW w:w="1872" w:type="dxa"/>
            <w:gridSpan w:val="3"/>
          </w:tcPr>
          <w:p w14:paraId="12E9A61C" w14:textId="1141E09B" w:rsidR="00375E21" w:rsidRDefault="00375E21">
            <w:pPr>
              <w:pStyle w:val="TableText"/>
            </w:pPr>
            <w:r>
              <w:rPr>
                <w:rFonts w:hint="cs"/>
                <w:rtl/>
              </w:rPr>
              <w:t>"העברת מאגרי מידע"</w:t>
            </w:r>
          </w:p>
        </w:tc>
        <w:tc>
          <w:tcPr>
            <w:tcW w:w="624" w:type="dxa"/>
          </w:tcPr>
          <w:p w14:paraId="28963BD1" w14:textId="1E5927CA" w:rsidR="00375E21" w:rsidRDefault="00375E21">
            <w:pPr>
              <w:pStyle w:val="TableText"/>
            </w:pPr>
            <w:r>
              <w:rPr>
                <w:rFonts w:hint="cs"/>
                <w:rtl/>
              </w:rPr>
              <w:t>8ב</w:t>
            </w:r>
          </w:p>
        </w:tc>
        <w:tc>
          <w:tcPr>
            <w:tcW w:w="624" w:type="dxa"/>
          </w:tcPr>
          <w:p w14:paraId="26818AE2" w14:textId="77777777" w:rsidR="00375E21" w:rsidRDefault="00375E21" w:rsidP="00F44C09">
            <w:pPr>
              <w:pStyle w:val="TableText"/>
              <w:numPr>
                <w:ilvl w:val="0"/>
                <w:numId w:val="10"/>
              </w:numPr>
              <w:tabs>
                <w:tab w:val="left" w:pos="624"/>
              </w:tabs>
              <w:jc w:val="both"/>
            </w:pPr>
          </w:p>
        </w:tc>
        <w:tc>
          <w:tcPr>
            <w:tcW w:w="626" w:type="dxa"/>
          </w:tcPr>
          <w:p w14:paraId="52B9BE4B" w14:textId="3188C44B" w:rsidR="00375E21" w:rsidRDefault="00375E21" w:rsidP="00F44C09">
            <w:pPr>
              <w:pStyle w:val="TableText"/>
              <w:numPr>
                <w:ilvl w:val="0"/>
                <w:numId w:val="11"/>
              </w:numPr>
              <w:tabs>
                <w:tab w:val="left" w:pos="624"/>
              </w:tabs>
              <w:jc w:val="both"/>
            </w:pPr>
          </w:p>
        </w:tc>
        <w:tc>
          <w:tcPr>
            <w:tcW w:w="3401" w:type="dxa"/>
          </w:tcPr>
          <w:p w14:paraId="3AC613F2" w14:textId="6860961A" w:rsidR="00375E21" w:rsidRDefault="00375E21" w:rsidP="00375E21">
            <w:pPr>
              <w:pStyle w:val="TableBlock"/>
            </w:pPr>
            <w:r>
              <w:rPr>
                <w:rtl/>
              </w:rPr>
              <w:t>השירות יהיה רשאי להעביר מאגר מידע שהתקבל או נאסף בשירות בהתקיים טעמים מיוחדים, כאשר הדבר דרוש לצורך מילוי תפקידיו של השירות, בהתאם לאמור בכללים ובאישור ראש השירות;</w:t>
            </w:r>
          </w:p>
        </w:tc>
      </w:tr>
      <w:tr w:rsidR="00375E21" w14:paraId="4399F970" w14:textId="77777777" w:rsidTr="00375E21">
        <w:trPr>
          <w:cantSplit/>
          <w:trHeight w:val="60"/>
        </w:trPr>
        <w:tc>
          <w:tcPr>
            <w:tcW w:w="1870" w:type="dxa"/>
          </w:tcPr>
          <w:p w14:paraId="7A3123AF" w14:textId="77777777" w:rsidR="00375E21" w:rsidRDefault="00375E21">
            <w:pPr>
              <w:pStyle w:val="TableSideHeading"/>
            </w:pPr>
          </w:p>
        </w:tc>
        <w:tc>
          <w:tcPr>
            <w:tcW w:w="624" w:type="dxa"/>
          </w:tcPr>
          <w:p w14:paraId="4A32EFA7" w14:textId="77777777" w:rsidR="00375E21" w:rsidRDefault="00375E21" w:rsidP="00375E21">
            <w:pPr>
              <w:pStyle w:val="TableText"/>
            </w:pPr>
          </w:p>
        </w:tc>
        <w:tc>
          <w:tcPr>
            <w:tcW w:w="1872" w:type="dxa"/>
            <w:gridSpan w:val="3"/>
          </w:tcPr>
          <w:p w14:paraId="1F20B5E8" w14:textId="77777777" w:rsidR="00375E21" w:rsidRDefault="00375E21">
            <w:pPr>
              <w:pStyle w:val="TableText"/>
              <w:rPr>
                <w:rtl/>
              </w:rPr>
            </w:pPr>
          </w:p>
        </w:tc>
        <w:tc>
          <w:tcPr>
            <w:tcW w:w="624" w:type="dxa"/>
          </w:tcPr>
          <w:p w14:paraId="44EF4FC3" w14:textId="77777777" w:rsidR="00375E21" w:rsidRDefault="00375E21">
            <w:pPr>
              <w:pStyle w:val="TableText"/>
              <w:rPr>
                <w:rtl/>
              </w:rPr>
            </w:pPr>
          </w:p>
        </w:tc>
        <w:tc>
          <w:tcPr>
            <w:tcW w:w="624" w:type="dxa"/>
          </w:tcPr>
          <w:p w14:paraId="2BD3B472" w14:textId="77777777" w:rsidR="00375E21" w:rsidRDefault="00375E21" w:rsidP="00375E21">
            <w:pPr>
              <w:pStyle w:val="TableText"/>
              <w:tabs>
                <w:tab w:val="clear" w:pos="624"/>
              </w:tabs>
              <w:jc w:val="both"/>
            </w:pPr>
          </w:p>
        </w:tc>
        <w:tc>
          <w:tcPr>
            <w:tcW w:w="626" w:type="dxa"/>
          </w:tcPr>
          <w:p w14:paraId="73BE53A0" w14:textId="77777777" w:rsidR="00375E21" w:rsidRDefault="00375E21" w:rsidP="00F44C09">
            <w:pPr>
              <w:pStyle w:val="TableText"/>
              <w:numPr>
                <w:ilvl w:val="0"/>
                <w:numId w:val="11"/>
              </w:numPr>
              <w:tabs>
                <w:tab w:val="left" w:pos="624"/>
              </w:tabs>
              <w:jc w:val="both"/>
            </w:pPr>
          </w:p>
        </w:tc>
        <w:tc>
          <w:tcPr>
            <w:tcW w:w="3401" w:type="dxa"/>
          </w:tcPr>
          <w:p w14:paraId="679B15A3" w14:textId="62400C80" w:rsidR="00375E21" w:rsidRDefault="00375E21" w:rsidP="00375E21">
            <w:pPr>
              <w:pStyle w:val="TableBlock"/>
              <w:rPr>
                <w:rtl/>
              </w:rPr>
            </w:pPr>
            <w:r>
              <w:rPr>
                <w:rtl/>
              </w:rPr>
              <w:t>בבוחנו מתן אישור כאמור, ישקול ראש השירות, בין היתר, האם יש בהעברת המאגר כדי לפגוע במקורות מידע או בשיטות פעולה של השירות וכן היבטים הנוגעים לפגיעה בפרטיות; האישור יינתן רק מקום בו ראש השירות השתכנע כי הצורך בהעברת המאגר עולה על הפגיעות האמורות.</w:t>
            </w:r>
          </w:p>
        </w:tc>
      </w:tr>
      <w:tr w:rsidR="00FB3F6B" w14:paraId="11E4EF7C" w14:textId="77777777" w:rsidTr="00FB3F6B">
        <w:trPr>
          <w:cantSplit/>
          <w:trHeight w:val="60"/>
        </w:trPr>
        <w:tc>
          <w:tcPr>
            <w:tcW w:w="1870" w:type="dxa"/>
          </w:tcPr>
          <w:p w14:paraId="5B73B75A" w14:textId="77777777" w:rsidR="00FB3F6B" w:rsidRDefault="00FB3F6B">
            <w:pPr>
              <w:pStyle w:val="TableSideHeading"/>
            </w:pPr>
          </w:p>
        </w:tc>
        <w:tc>
          <w:tcPr>
            <w:tcW w:w="624" w:type="dxa"/>
          </w:tcPr>
          <w:p w14:paraId="014DE2B2" w14:textId="77777777" w:rsidR="00FB3F6B" w:rsidRDefault="00FB3F6B">
            <w:pPr>
              <w:pStyle w:val="TableText"/>
            </w:pPr>
          </w:p>
        </w:tc>
        <w:tc>
          <w:tcPr>
            <w:tcW w:w="624" w:type="dxa"/>
          </w:tcPr>
          <w:p w14:paraId="23FE88D4" w14:textId="77777777" w:rsidR="00FB3F6B" w:rsidRDefault="00FB3F6B">
            <w:pPr>
              <w:pStyle w:val="TableText"/>
            </w:pPr>
          </w:p>
        </w:tc>
        <w:tc>
          <w:tcPr>
            <w:tcW w:w="624" w:type="dxa"/>
          </w:tcPr>
          <w:p w14:paraId="76D3EF66" w14:textId="77777777" w:rsidR="00FB3F6B" w:rsidRDefault="00FB3F6B">
            <w:pPr>
              <w:pStyle w:val="TableText"/>
            </w:pPr>
          </w:p>
        </w:tc>
        <w:tc>
          <w:tcPr>
            <w:tcW w:w="624" w:type="dxa"/>
          </w:tcPr>
          <w:p w14:paraId="3B942536" w14:textId="77777777" w:rsidR="00FB3F6B" w:rsidRDefault="00FB3F6B">
            <w:pPr>
              <w:pStyle w:val="TableText"/>
            </w:pPr>
          </w:p>
        </w:tc>
        <w:tc>
          <w:tcPr>
            <w:tcW w:w="624" w:type="dxa"/>
          </w:tcPr>
          <w:p w14:paraId="3D64624F" w14:textId="77777777" w:rsidR="00FB3F6B" w:rsidRDefault="00FB3F6B">
            <w:pPr>
              <w:pStyle w:val="TableText"/>
            </w:pPr>
          </w:p>
        </w:tc>
        <w:tc>
          <w:tcPr>
            <w:tcW w:w="624" w:type="dxa"/>
          </w:tcPr>
          <w:p w14:paraId="4F1C346F" w14:textId="044175DE" w:rsidR="00FB3F6B" w:rsidRDefault="00FB3F6B" w:rsidP="00F44C09">
            <w:pPr>
              <w:pStyle w:val="TableText"/>
              <w:numPr>
                <w:ilvl w:val="0"/>
                <w:numId w:val="10"/>
              </w:numPr>
              <w:tabs>
                <w:tab w:val="left" w:pos="624"/>
              </w:tabs>
              <w:jc w:val="both"/>
            </w:pPr>
          </w:p>
        </w:tc>
        <w:tc>
          <w:tcPr>
            <w:tcW w:w="4027" w:type="dxa"/>
            <w:gridSpan w:val="2"/>
          </w:tcPr>
          <w:p w14:paraId="081467F6" w14:textId="2C87CCE2" w:rsidR="00FB3F6B" w:rsidRDefault="00FB3F6B">
            <w:pPr>
              <w:pStyle w:val="TableBlock"/>
            </w:pPr>
            <w:r>
              <w:rPr>
                <w:rtl/>
              </w:rPr>
              <w:t>על אף האמור בסעיף קטן (א) –</w:t>
            </w:r>
          </w:p>
        </w:tc>
      </w:tr>
      <w:tr w:rsidR="00FB3F6B" w14:paraId="392550DA" w14:textId="77777777" w:rsidTr="00FB3F6B">
        <w:trPr>
          <w:cantSplit/>
          <w:trHeight w:val="60"/>
        </w:trPr>
        <w:tc>
          <w:tcPr>
            <w:tcW w:w="1870" w:type="dxa"/>
          </w:tcPr>
          <w:p w14:paraId="16C4147B" w14:textId="77777777" w:rsidR="00FB3F6B" w:rsidRDefault="00FB3F6B">
            <w:pPr>
              <w:pStyle w:val="TableSideHeading"/>
            </w:pPr>
          </w:p>
        </w:tc>
        <w:tc>
          <w:tcPr>
            <w:tcW w:w="624" w:type="dxa"/>
          </w:tcPr>
          <w:p w14:paraId="7B528181" w14:textId="77777777" w:rsidR="00FB3F6B" w:rsidRDefault="00FB3F6B">
            <w:pPr>
              <w:pStyle w:val="TableText"/>
            </w:pPr>
          </w:p>
        </w:tc>
        <w:tc>
          <w:tcPr>
            <w:tcW w:w="624" w:type="dxa"/>
          </w:tcPr>
          <w:p w14:paraId="273F355D" w14:textId="77777777" w:rsidR="00FB3F6B" w:rsidRDefault="00FB3F6B">
            <w:pPr>
              <w:pStyle w:val="TableText"/>
            </w:pPr>
          </w:p>
        </w:tc>
        <w:tc>
          <w:tcPr>
            <w:tcW w:w="624" w:type="dxa"/>
          </w:tcPr>
          <w:p w14:paraId="3EEF023C" w14:textId="77777777" w:rsidR="00FB3F6B" w:rsidRDefault="00FB3F6B">
            <w:pPr>
              <w:pStyle w:val="TableText"/>
            </w:pPr>
          </w:p>
        </w:tc>
        <w:tc>
          <w:tcPr>
            <w:tcW w:w="624" w:type="dxa"/>
          </w:tcPr>
          <w:p w14:paraId="72357C47" w14:textId="77777777" w:rsidR="00FB3F6B" w:rsidRDefault="00FB3F6B">
            <w:pPr>
              <w:pStyle w:val="TableText"/>
            </w:pPr>
          </w:p>
        </w:tc>
        <w:tc>
          <w:tcPr>
            <w:tcW w:w="624" w:type="dxa"/>
          </w:tcPr>
          <w:p w14:paraId="08EDB0C0" w14:textId="77777777" w:rsidR="00FB3F6B" w:rsidRDefault="00FB3F6B">
            <w:pPr>
              <w:pStyle w:val="TableText"/>
            </w:pPr>
          </w:p>
        </w:tc>
        <w:tc>
          <w:tcPr>
            <w:tcW w:w="624" w:type="dxa"/>
          </w:tcPr>
          <w:p w14:paraId="21A25A18" w14:textId="77777777" w:rsidR="00FB3F6B" w:rsidRDefault="00FB3F6B">
            <w:pPr>
              <w:pStyle w:val="TableText"/>
            </w:pPr>
          </w:p>
        </w:tc>
        <w:tc>
          <w:tcPr>
            <w:tcW w:w="626" w:type="dxa"/>
          </w:tcPr>
          <w:p w14:paraId="6C6701DD" w14:textId="77777777" w:rsidR="00FB3F6B" w:rsidRDefault="00FB3F6B" w:rsidP="00F44C09">
            <w:pPr>
              <w:pStyle w:val="TableText"/>
              <w:numPr>
                <w:ilvl w:val="0"/>
                <w:numId w:val="12"/>
              </w:numPr>
              <w:tabs>
                <w:tab w:val="left" w:pos="624"/>
              </w:tabs>
              <w:jc w:val="both"/>
            </w:pPr>
          </w:p>
        </w:tc>
        <w:tc>
          <w:tcPr>
            <w:tcW w:w="3401" w:type="dxa"/>
          </w:tcPr>
          <w:p w14:paraId="46BF6F80" w14:textId="0D13D332" w:rsidR="00FB3F6B" w:rsidRDefault="00FB3F6B">
            <w:pPr>
              <w:pStyle w:val="TableBlock"/>
            </w:pPr>
            <w:r>
              <w:rPr>
                <w:rtl/>
              </w:rPr>
              <w:t>לא יועבר מכוח סעיף זה מאגר מידע הכולל מידע על תושבי ישראל; לעניין זה "תושב ישראל" – מי שרשום במרשם האוכלוסין כמשמעותו לפי חוק מרשם האוכלוסין, התשכ"ה-1965;</w:t>
            </w:r>
          </w:p>
        </w:tc>
      </w:tr>
      <w:tr w:rsidR="00FB3F6B" w14:paraId="3BE7D680" w14:textId="77777777" w:rsidTr="00FB3F6B">
        <w:trPr>
          <w:cantSplit/>
          <w:trHeight w:val="60"/>
        </w:trPr>
        <w:tc>
          <w:tcPr>
            <w:tcW w:w="1870" w:type="dxa"/>
          </w:tcPr>
          <w:p w14:paraId="2954FF48" w14:textId="77777777" w:rsidR="00FB3F6B" w:rsidRDefault="00FB3F6B">
            <w:pPr>
              <w:pStyle w:val="TableSideHeading"/>
            </w:pPr>
          </w:p>
        </w:tc>
        <w:tc>
          <w:tcPr>
            <w:tcW w:w="624" w:type="dxa"/>
          </w:tcPr>
          <w:p w14:paraId="3CD22EA5" w14:textId="77777777" w:rsidR="00FB3F6B" w:rsidRDefault="00FB3F6B" w:rsidP="00FB3F6B">
            <w:pPr>
              <w:pStyle w:val="TableText"/>
            </w:pPr>
          </w:p>
        </w:tc>
        <w:tc>
          <w:tcPr>
            <w:tcW w:w="624" w:type="dxa"/>
          </w:tcPr>
          <w:p w14:paraId="66544056" w14:textId="77777777" w:rsidR="00FB3F6B" w:rsidRDefault="00FB3F6B">
            <w:pPr>
              <w:pStyle w:val="TableText"/>
            </w:pPr>
          </w:p>
        </w:tc>
        <w:tc>
          <w:tcPr>
            <w:tcW w:w="624" w:type="dxa"/>
          </w:tcPr>
          <w:p w14:paraId="49351F9F" w14:textId="77777777" w:rsidR="00FB3F6B" w:rsidRDefault="00FB3F6B">
            <w:pPr>
              <w:pStyle w:val="TableText"/>
            </w:pPr>
          </w:p>
        </w:tc>
        <w:tc>
          <w:tcPr>
            <w:tcW w:w="624" w:type="dxa"/>
          </w:tcPr>
          <w:p w14:paraId="160B04AF" w14:textId="77777777" w:rsidR="00FB3F6B" w:rsidRDefault="00FB3F6B">
            <w:pPr>
              <w:pStyle w:val="TableText"/>
            </w:pPr>
          </w:p>
        </w:tc>
        <w:tc>
          <w:tcPr>
            <w:tcW w:w="624" w:type="dxa"/>
          </w:tcPr>
          <w:p w14:paraId="3FBF72F5" w14:textId="77777777" w:rsidR="00FB3F6B" w:rsidRDefault="00FB3F6B">
            <w:pPr>
              <w:pStyle w:val="TableText"/>
            </w:pPr>
          </w:p>
        </w:tc>
        <w:tc>
          <w:tcPr>
            <w:tcW w:w="624" w:type="dxa"/>
          </w:tcPr>
          <w:p w14:paraId="2EAA027D" w14:textId="77777777" w:rsidR="00FB3F6B" w:rsidRDefault="00FB3F6B">
            <w:pPr>
              <w:pStyle w:val="TableText"/>
            </w:pPr>
          </w:p>
        </w:tc>
        <w:tc>
          <w:tcPr>
            <w:tcW w:w="626" w:type="dxa"/>
          </w:tcPr>
          <w:p w14:paraId="4B2E34F3" w14:textId="77777777" w:rsidR="00FB3F6B" w:rsidRDefault="00FB3F6B" w:rsidP="00F44C09">
            <w:pPr>
              <w:pStyle w:val="TableText"/>
              <w:numPr>
                <w:ilvl w:val="0"/>
                <w:numId w:val="12"/>
              </w:numPr>
              <w:tabs>
                <w:tab w:val="left" w:pos="624"/>
              </w:tabs>
              <w:jc w:val="both"/>
            </w:pPr>
          </w:p>
        </w:tc>
        <w:tc>
          <w:tcPr>
            <w:tcW w:w="3401" w:type="dxa"/>
          </w:tcPr>
          <w:p w14:paraId="46B22951" w14:textId="52B89718" w:rsidR="00FB3F6B" w:rsidRDefault="00FB3F6B">
            <w:pPr>
              <w:pStyle w:val="TableBlock"/>
              <w:rPr>
                <w:rtl/>
              </w:rPr>
            </w:pPr>
            <w:r>
              <w:rPr>
                <w:rtl/>
              </w:rPr>
              <w:t>לא יועבר מאגר מידע אלא לגורם שייקבע בכללים המוסמך להחזיק במידע מהסוג הכלול במאגר לפי הדין החל עליו.</w:t>
            </w:r>
          </w:p>
        </w:tc>
      </w:tr>
      <w:tr w:rsidR="00FB3F6B" w14:paraId="615E4085" w14:textId="77777777" w:rsidTr="00181857">
        <w:trPr>
          <w:cantSplit/>
          <w:trHeight w:val="60"/>
        </w:trPr>
        <w:tc>
          <w:tcPr>
            <w:tcW w:w="1870" w:type="dxa"/>
          </w:tcPr>
          <w:p w14:paraId="2EE988A3" w14:textId="77777777" w:rsidR="00FB3F6B" w:rsidRDefault="00FB3F6B">
            <w:pPr>
              <w:pStyle w:val="TableSideHeading"/>
            </w:pPr>
          </w:p>
        </w:tc>
        <w:tc>
          <w:tcPr>
            <w:tcW w:w="624" w:type="dxa"/>
          </w:tcPr>
          <w:p w14:paraId="502BAC0E" w14:textId="77777777" w:rsidR="00FB3F6B" w:rsidRDefault="00FB3F6B">
            <w:pPr>
              <w:pStyle w:val="TableText"/>
            </w:pPr>
          </w:p>
        </w:tc>
        <w:tc>
          <w:tcPr>
            <w:tcW w:w="624" w:type="dxa"/>
          </w:tcPr>
          <w:p w14:paraId="367482EF" w14:textId="77777777" w:rsidR="00FB3F6B" w:rsidRDefault="00FB3F6B">
            <w:pPr>
              <w:pStyle w:val="TableText"/>
            </w:pPr>
          </w:p>
        </w:tc>
        <w:tc>
          <w:tcPr>
            <w:tcW w:w="624" w:type="dxa"/>
          </w:tcPr>
          <w:p w14:paraId="2ECFC93E" w14:textId="77777777" w:rsidR="00FB3F6B" w:rsidRDefault="00FB3F6B">
            <w:pPr>
              <w:pStyle w:val="TableText"/>
            </w:pPr>
          </w:p>
        </w:tc>
        <w:tc>
          <w:tcPr>
            <w:tcW w:w="624" w:type="dxa"/>
          </w:tcPr>
          <w:p w14:paraId="74680EC3" w14:textId="77777777" w:rsidR="00FB3F6B" w:rsidRDefault="00FB3F6B">
            <w:pPr>
              <w:pStyle w:val="TableText"/>
            </w:pPr>
          </w:p>
        </w:tc>
        <w:tc>
          <w:tcPr>
            <w:tcW w:w="624" w:type="dxa"/>
          </w:tcPr>
          <w:p w14:paraId="570B345E" w14:textId="77777777" w:rsidR="00FB3F6B" w:rsidRDefault="00FB3F6B">
            <w:pPr>
              <w:pStyle w:val="TableText"/>
            </w:pPr>
          </w:p>
        </w:tc>
        <w:tc>
          <w:tcPr>
            <w:tcW w:w="624" w:type="dxa"/>
          </w:tcPr>
          <w:p w14:paraId="63E4D8C8" w14:textId="5ED24921" w:rsidR="00FB3F6B" w:rsidRDefault="00FB3F6B" w:rsidP="00F44C09">
            <w:pPr>
              <w:pStyle w:val="TableText"/>
              <w:numPr>
                <w:ilvl w:val="0"/>
                <w:numId w:val="10"/>
              </w:numPr>
            </w:pPr>
          </w:p>
        </w:tc>
        <w:tc>
          <w:tcPr>
            <w:tcW w:w="4027" w:type="dxa"/>
            <w:gridSpan w:val="2"/>
          </w:tcPr>
          <w:p w14:paraId="5D5D5A4E" w14:textId="592BE7E8" w:rsidR="00FB3F6B" w:rsidRDefault="00FB3F6B">
            <w:pPr>
              <w:pStyle w:val="TableBlock"/>
            </w:pPr>
            <w:r>
              <w:rPr>
                <w:rtl/>
              </w:rPr>
              <w:t>העברת מאגר מידע תותנה בהתקיימם של התנאים הבאים:</w:t>
            </w:r>
          </w:p>
        </w:tc>
      </w:tr>
      <w:tr w:rsidR="00FB3F6B" w14:paraId="7B078BAE" w14:textId="77777777" w:rsidTr="00181857">
        <w:trPr>
          <w:cantSplit/>
          <w:trHeight w:val="60"/>
        </w:trPr>
        <w:tc>
          <w:tcPr>
            <w:tcW w:w="1870" w:type="dxa"/>
          </w:tcPr>
          <w:p w14:paraId="14A7DF0F" w14:textId="77777777" w:rsidR="00FB3F6B" w:rsidRDefault="00FB3F6B">
            <w:pPr>
              <w:pStyle w:val="TableSideHeading"/>
            </w:pPr>
          </w:p>
        </w:tc>
        <w:tc>
          <w:tcPr>
            <w:tcW w:w="624" w:type="dxa"/>
          </w:tcPr>
          <w:p w14:paraId="0724EEF6" w14:textId="77777777" w:rsidR="00FB3F6B" w:rsidRDefault="00FB3F6B">
            <w:pPr>
              <w:pStyle w:val="TableText"/>
            </w:pPr>
          </w:p>
        </w:tc>
        <w:tc>
          <w:tcPr>
            <w:tcW w:w="624" w:type="dxa"/>
          </w:tcPr>
          <w:p w14:paraId="2EF002CC" w14:textId="77777777" w:rsidR="00FB3F6B" w:rsidRDefault="00FB3F6B">
            <w:pPr>
              <w:pStyle w:val="TableText"/>
            </w:pPr>
          </w:p>
        </w:tc>
        <w:tc>
          <w:tcPr>
            <w:tcW w:w="624" w:type="dxa"/>
          </w:tcPr>
          <w:p w14:paraId="48A82520" w14:textId="77777777" w:rsidR="00FB3F6B" w:rsidRDefault="00FB3F6B">
            <w:pPr>
              <w:pStyle w:val="TableText"/>
            </w:pPr>
          </w:p>
        </w:tc>
        <w:tc>
          <w:tcPr>
            <w:tcW w:w="624" w:type="dxa"/>
          </w:tcPr>
          <w:p w14:paraId="75A50E5E" w14:textId="77777777" w:rsidR="00FB3F6B" w:rsidRDefault="00FB3F6B">
            <w:pPr>
              <w:pStyle w:val="TableText"/>
            </w:pPr>
          </w:p>
        </w:tc>
        <w:tc>
          <w:tcPr>
            <w:tcW w:w="624" w:type="dxa"/>
          </w:tcPr>
          <w:p w14:paraId="582532DE" w14:textId="77777777" w:rsidR="00FB3F6B" w:rsidRDefault="00FB3F6B">
            <w:pPr>
              <w:pStyle w:val="TableText"/>
            </w:pPr>
          </w:p>
        </w:tc>
        <w:tc>
          <w:tcPr>
            <w:tcW w:w="624" w:type="dxa"/>
          </w:tcPr>
          <w:p w14:paraId="261D5F44" w14:textId="77777777" w:rsidR="00FB3F6B" w:rsidRDefault="00FB3F6B">
            <w:pPr>
              <w:pStyle w:val="TableText"/>
            </w:pPr>
          </w:p>
        </w:tc>
        <w:tc>
          <w:tcPr>
            <w:tcW w:w="626" w:type="dxa"/>
          </w:tcPr>
          <w:p w14:paraId="4FDC8DC4" w14:textId="77777777" w:rsidR="00FB3F6B" w:rsidRDefault="00FB3F6B" w:rsidP="00F44C09">
            <w:pPr>
              <w:pStyle w:val="TableText"/>
              <w:numPr>
                <w:ilvl w:val="0"/>
                <w:numId w:val="13"/>
              </w:numPr>
              <w:tabs>
                <w:tab w:val="left" w:pos="624"/>
              </w:tabs>
              <w:jc w:val="both"/>
            </w:pPr>
          </w:p>
        </w:tc>
        <w:tc>
          <w:tcPr>
            <w:tcW w:w="3401" w:type="dxa"/>
          </w:tcPr>
          <w:p w14:paraId="5B377EC7" w14:textId="69AE7247" w:rsidR="00FB3F6B" w:rsidRDefault="00FB3F6B">
            <w:pPr>
              <w:pStyle w:val="TableBlock"/>
            </w:pPr>
            <w:r>
              <w:rPr>
                <w:rtl/>
              </w:rPr>
              <w:t>השימוש במאגר המידע בידי הגורם שאליו יועבר יהיה רק למטרה שלשמה נמסר, אלא אם כן אישר ראש השירות, מטעמים מיוחדים שיירשמו, שימוש למטרה אחרת, ובלבד שגם זו נדרשת לצורך מילוי תפקידיו של השירות;</w:t>
            </w:r>
          </w:p>
        </w:tc>
      </w:tr>
      <w:tr w:rsidR="00FB3F6B" w14:paraId="4213D5F5" w14:textId="77777777" w:rsidTr="00181857">
        <w:trPr>
          <w:cantSplit/>
          <w:trHeight w:val="60"/>
        </w:trPr>
        <w:tc>
          <w:tcPr>
            <w:tcW w:w="1870" w:type="dxa"/>
          </w:tcPr>
          <w:p w14:paraId="6658ADA8" w14:textId="77777777" w:rsidR="00FB3F6B" w:rsidRDefault="00FB3F6B">
            <w:pPr>
              <w:pStyle w:val="TableSideHeading"/>
            </w:pPr>
          </w:p>
        </w:tc>
        <w:tc>
          <w:tcPr>
            <w:tcW w:w="624" w:type="dxa"/>
          </w:tcPr>
          <w:p w14:paraId="730B0661" w14:textId="77777777" w:rsidR="00FB3F6B" w:rsidRDefault="00FB3F6B" w:rsidP="00FB3F6B">
            <w:pPr>
              <w:pStyle w:val="TableText"/>
            </w:pPr>
          </w:p>
        </w:tc>
        <w:tc>
          <w:tcPr>
            <w:tcW w:w="624" w:type="dxa"/>
          </w:tcPr>
          <w:p w14:paraId="0900BD37" w14:textId="77777777" w:rsidR="00FB3F6B" w:rsidRDefault="00FB3F6B">
            <w:pPr>
              <w:pStyle w:val="TableText"/>
            </w:pPr>
          </w:p>
        </w:tc>
        <w:tc>
          <w:tcPr>
            <w:tcW w:w="624" w:type="dxa"/>
          </w:tcPr>
          <w:p w14:paraId="7C6791C3" w14:textId="77777777" w:rsidR="00FB3F6B" w:rsidRDefault="00FB3F6B">
            <w:pPr>
              <w:pStyle w:val="TableText"/>
            </w:pPr>
          </w:p>
        </w:tc>
        <w:tc>
          <w:tcPr>
            <w:tcW w:w="624" w:type="dxa"/>
          </w:tcPr>
          <w:p w14:paraId="2C4FDB2E" w14:textId="77777777" w:rsidR="00FB3F6B" w:rsidRDefault="00FB3F6B">
            <w:pPr>
              <w:pStyle w:val="TableText"/>
            </w:pPr>
          </w:p>
        </w:tc>
        <w:tc>
          <w:tcPr>
            <w:tcW w:w="624" w:type="dxa"/>
          </w:tcPr>
          <w:p w14:paraId="0E983893" w14:textId="77777777" w:rsidR="00FB3F6B" w:rsidRDefault="00FB3F6B">
            <w:pPr>
              <w:pStyle w:val="TableText"/>
            </w:pPr>
          </w:p>
        </w:tc>
        <w:tc>
          <w:tcPr>
            <w:tcW w:w="624" w:type="dxa"/>
          </w:tcPr>
          <w:p w14:paraId="00BF101C" w14:textId="77777777" w:rsidR="00FB3F6B" w:rsidRDefault="00FB3F6B">
            <w:pPr>
              <w:pStyle w:val="TableText"/>
            </w:pPr>
          </w:p>
        </w:tc>
        <w:tc>
          <w:tcPr>
            <w:tcW w:w="626" w:type="dxa"/>
          </w:tcPr>
          <w:p w14:paraId="3CD9B832" w14:textId="77777777" w:rsidR="00FB3F6B" w:rsidRDefault="00FB3F6B" w:rsidP="00F44C09">
            <w:pPr>
              <w:pStyle w:val="TableText"/>
              <w:numPr>
                <w:ilvl w:val="0"/>
                <w:numId w:val="13"/>
              </w:numPr>
              <w:tabs>
                <w:tab w:val="left" w:pos="624"/>
              </w:tabs>
              <w:jc w:val="both"/>
            </w:pPr>
          </w:p>
        </w:tc>
        <w:tc>
          <w:tcPr>
            <w:tcW w:w="3401" w:type="dxa"/>
          </w:tcPr>
          <w:p w14:paraId="077C2E96" w14:textId="4753D987" w:rsidR="00FB3F6B" w:rsidRDefault="00FB3F6B">
            <w:pPr>
              <w:pStyle w:val="TableBlock"/>
              <w:rPr>
                <w:rtl/>
              </w:rPr>
            </w:pPr>
            <w:r>
              <w:rPr>
                <w:rtl/>
              </w:rPr>
              <w:t>מאגר המידע לא יועבר מהגורם שאליו הועבר לגורם אחר, אלא אם כן אישר ראש השירות, מטעמים מיוחדים שיירשמו, את העברתו של מידע מתוך המאגר לגורם אחר; הגורם האחר לא יהיה רשאי להעביר את המידע לידי גורם נוסף כלשהו, אלא אם כן אישר זאת ראש השירות, מטעמים מיוחדים שיירשמו;</w:t>
            </w:r>
          </w:p>
        </w:tc>
      </w:tr>
      <w:tr w:rsidR="00FB3F6B" w14:paraId="6A5DEADD" w14:textId="77777777" w:rsidTr="00181857">
        <w:trPr>
          <w:cantSplit/>
          <w:trHeight w:val="60"/>
        </w:trPr>
        <w:tc>
          <w:tcPr>
            <w:tcW w:w="1870" w:type="dxa"/>
          </w:tcPr>
          <w:p w14:paraId="19D5B567" w14:textId="77777777" w:rsidR="00FB3F6B" w:rsidRDefault="00FB3F6B">
            <w:pPr>
              <w:pStyle w:val="TableSideHeading"/>
            </w:pPr>
          </w:p>
        </w:tc>
        <w:tc>
          <w:tcPr>
            <w:tcW w:w="624" w:type="dxa"/>
          </w:tcPr>
          <w:p w14:paraId="369CEA0A" w14:textId="77777777" w:rsidR="00FB3F6B" w:rsidRDefault="00FB3F6B" w:rsidP="00FB3F6B">
            <w:pPr>
              <w:pStyle w:val="TableText"/>
            </w:pPr>
          </w:p>
        </w:tc>
        <w:tc>
          <w:tcPr>
            <w:tcW w:w="624" w:type="dxa"/>
          </w:tcPr>
          <w:p w14:paraId="3CCB4F42" w14:textId="77777777" w:rsidR="00FB3F6B" w:rsidRDefault="00FB3F6B">
            <w:pPr>
              <w:pStyle w:val="TableText"/>
            </w:pPr>
          </w:p>
        </w:tc>
        <w:tc>
          <w:tcPr>
            <w:tcW w:w="624" w:type="dxa"/>
          </w:tcPr>
          <w:p w14:paraId="5EAC77B5" w14:textId="77777777" w:rsidR="00FB3F6B" w:rsidRDefault="00FB3F6B">
            <w:pPr>
              <w:pStyle w:val="TableText"/>
            </w:pPr>
          </w:p>
        </w:tc>
        <w:tc>
          <w:tcPr>
            <w:tcW w:w="624" w:type="dxa"/>
          </w:tcPr>
          <w:p w14:paraId="197947B4" w14:textId="77777777" w:rsidR="00FB3F6B" w:rsidRDefault="00FB3F6B">
            <w:pPr>
              <w:pStyle w:val="TableText"/>
            </w:pPr>
          </w:p>
        </w:tc>
        <w:tc>
          <w:tcPr>
            <w:tcW w:w="624" w:type="dxa"/>
          </w:tcPr>
          <w:p w14:paraId="5CC07BE9" w14:textId="77777777" w:rsidR="00FB3F6B" w:rsidRDefault="00FB3F6B">
            <w:pPr>
              <w:pStyle w:val="TableText"/>
            </w:pPr>
          </w:p>
        </w:tc>
        <w:tc>
          <w:tcPr>
            <w:tcW w:w="624" w:type="dxa"/>
          </w:tcPr>
          <w:p w14:paraId="5F5E8A56" w14:textId="77777777" w:rsidR="00FB3F6B" w:rsidRDefault="00FB3F6B">
            <w:pPr>
              <w:pStyle w:val="TableText"/>
            </w:pPr>
          </w:p>
        </w:tc>
        <w:tc>
          <w:tcPr>
            <w:tcW w:w="626" w:type="dxa"/>
          </w:tcPr>
          <w:p w14:paraId="48EDE646" w14:textId="77777777" w:rsidR="00FB3F6B" w:rsidRDefault="00FB3F6B" w:rsidP="00F44C09">
            <w:pPr>
              <w:pStyle w:val="TableText"/>
              <w:numPr>
                <w:ilvl w:val="0"/>
                <w:numId w:val="13"/>
              </w:numPr>
              <w:tabs>
                <w:tab w:val="left" w:pos="624"/>
              </w:tabs>
              <w:jc w:val="both"/>
            </w:pPr>
          </w:p>
        </w:tc>
        <w:tc>
          <w:tcPr>
            <w:tcW w:w="3401" w:type="dxa"/>
          </w:tcPr>
          <w:p w14:paraId="69A7EDE2" w14:textId="2D05FE77" w:rsidR="00FB3F6B" w:rsidRDefault="00FB3F6B">
            <w:pPr>
              <w:pStyle w:val="TableBlock"/>
              <w:rPr>
                <w:rtl/>
              </w:rPr>
            </w:pPr>
            <w:r>
              <w:rPr>
                <w:rtl/>
              </w:rPr>
              <w:t>הגורם שאליו יועבר המאגר התחייב לשמור על סודיותו ועל אבטחת המידע המצוי בו.</w:t>
            </w:r>
          </w:p>
        </w:tc>
      </w:tr>
      <w:tr w:rsidR="00FB3F6B" w14:paraId="01B1F2D1" w14:textId="77777777" w:rsidTr="00181857">
        <w:trPr>
          <w:cantSplit/>
          <w:trHeight w:val="60"/>
        </w:trPr>
        <w:tc>
          <w:tcPr>
            <w:tcW w:w="1870" w:type="dxa"/>
          </w:tcPr>
          <w:p w14:paraId="3C00F539" w14:textId="77777777" w:rsidR="00FB3F6B" w:rsidRDefault="00FB3F6B">
            <w:pPr>
              <w:pStyle w:val="TableSideHeading"/>
            </w:pPr>
          </w:p>
        </w:tc>
        <w:tc>
          <w:tcPr>
            <w:tcW w:w="624" w:type="dxa"/>
          </w:tcPr>
          <w:p w14:paraId="0BCC6793" w14:textId="77777777" w:rsidR="00FB3F6B" w:rsidRDefault="00FB3F6B">
            <w:pPr>
              <w:pStyle w:val="TableText"/>
            </w:pPr>
          </w:p>
        </w:tc>
        <w:tc>
          <w:tcPr>
            <w:tcW w:w="624" w:type="dxa"/>
          </w:tcPr>
          <w:p w14:paraId="3BAE1A0A" w14:textId="77777777" w:rsidR="00FB3F6B" w:rsidRDefault="00FB3F6B">
            <w:pPr>
              <w:pStyle w:val="TableText"/>
            </w:pPr>
          </w:p>
        </w:tc>
        <w:tc>
          <w:tcPr>
            <w:tcW w:w="624" w:type="dxa"/>
          </w:tcPr>
          <w:p w14:paraId="2129CED9" w14:textId="77777777" w:rsidR="00FB3F6B" w:rsidRDefault="00FB3F6B">
            <w:pPr>
              <w:pStyle w:val="TableText"/>
            </w:pPr>
          </w:p>
        </w:tc>
        <w:tc>
          <w:tcPr>
            <w:tcW w:w="624" w:type="dxa"/>
          </w:tcPr>
          <w:p w14:paraId="5BF10CCF" w14:textId="77777777" w:rsidR="00FB3F6B" w:rsidRDefault="00FB3F6B">
            <w:pPr>
              <w:pStyle w:val="TableText"/>
            </w:pPr>
          </w:p>
        </w:tc>
        <w:tc>
          <w:tcPr>
            <w:tcW w:w="624" w:type="dxa"/>
          </w:tcPr>
          <w:p w14:paraId="498540F5" w14:textId="77777777" w:rsidR="00FB3F6B" w:rsidRDefault="00FB3F6B">
            <w:pPr>
              <w:pStyle w:val="TableText"/>
            </w:pPr>
          </w:p>
        </w:tc>
        <w:tc>
          <w:tcPr>
            <w:tcW w:w="624" w:type="dxa"/>
          </w:tcPr>
          <w:p w14:paraId="1819D617" w14:textId="143B3C2E" w:rsidR="00FB3F6B" w:rsidRDefault="00FB3F6B" w:rsidP="00F44C09">
            <w:pPr>
              <w:pStyle w:val="TableText"/>
              <w:numPr>
                <w:ilvl w:val="0"/>
                <w:numId w:val="10"/>
              </w:numPr>
            </w:pPr>
          </w:p>
        </w:tc>
        <w:tc>
          <w:tcPr>
            <w:tcW w:w="4027" w:type="dxa"/>
            <w:gridSpan w:val="2"/>
          </w:tcPr>
          <w:p w14:paraId="3236F717" w14:textId="33638E23" w:rsidR="00FB3F6B" w:rsidRDefault="00FB3F6B">
            <w:pPr>
              <w:pStyle w:val="TableBlock"/>
            </w:pPr>
            <w:r>
              <w:rPr>
                <w:rtl/>
              </w:rPr>
              <w:t>ראש השירות ימסור לראש הממשלה וליועץ המשפטי לממשלה – אחת לשלושה חודשים, ולוועדת הכנסת לענייני השירות – אחת לשנה, דיווח על מאגרים שהועברו לפי סעיף זה; הדיווח יכלול פרטים על אודות המאגר שהועבר והמידע שנכלל בו, הצורך הביטחוני בהעברתו לשם מילוי תפקידי השירות והגורם שאליו הועבר.</w:t>
            </w:r>
            <w:r>
              <w:rPr>
                <w:rFonts w:hint="cs"/>
                <w:rtl/>
              </w:rPr>
              <w:t>"</w:t>
            </w:r>
          </w:p>
        </w:tc>
      </w:tr>
      <w:tr w:rsidR="002D42A0" w14:paraId="71E269BB" w14:textId="77777777" w:rsidTr="00181857">
        <w:trPr>
          <w:cantSplit/>
          <w:trHeight w:val="60"/>
        </w:trPr>
        <w:tc>
          <w:tcPr>
            <w:tcW w:w="1870" w:type="dxa"/>
          </w:tcPr>
          <w:p w14:paraId="3FED754B" w14:textId="315EC659" w:rsidR="002D42A0" w:rsidRDefault="002D42A0" w:rsidP="007E751D">
            <w:pPr>
              <w:pStyle w:val="TableSideHeading"/>
              <w:keepLines w:val="0"/>
            </w:pPr>
            <w:r>
              <w:rPr>
                <w:rFonts w:hint="cs"/>
                <w:rtl/>
              </w:rPr>
              <w:t>תיקון סעיף 9</w:t>
            </w:r>
          </w:p>
        </w:tc>
        <w:tc>
          <w:tcPr>
            <w:tcW w:w="624" w:type="dxa"/>
          </w:tcPr>
          <w:p w14:paraId="13B9868E" w14:textId="75C57676" w:rsidR="002D42A0" w:rsidRDefault="002D42A0" w:rsidP="002D42A0">
            <w:pPr>
              <w:pStyle w:val="TableText"/>
              <w:keepLines w:val="0"/>
            </w:pPr>
            <w:r>
              <w:rPr>
                <w:rFonts w:hint="cs"/>
                <w:rtl/>
              </w:rPr>
              <w:t>6.</w:t>
            </w:r>
          </w:p>
        </w:tc>
        <w:tc>
          <w:tcPr>
            <w:tcW w:w="7147" w:type="dxa"/>
            <w:gridSpan w:val="7"/>
          </w:tcPr>
          <w:p w14:paraId="4F6BB3ED" w14:textId="6F6A2232" w:rsidR="002D42A0" w:rsidRPr="00C34DE2" w:rsidRDefault="002D42A0" w:rsidP="007E751D">
            <w:pPr>
              <w:pStyle w:val="TableBlock"/>
              <w:keepLines w:val="0"/>
            </w:pPr>
            <w:r>
              <w:rPr>
                <w:rFonts w:hint="cs"/>
                <w:rtl/>
              </w:rPr>
              <w:t xml:space="preserve">בסעיף 9 לחוק העיקרי </w:t>
            </w:r>
            <w:r>
              <w:rPr>
                <w:rtl/>
              </w:rPr>
              <w:t>–</w:t>
            </w:r>
            <w:r>
              <w:rPr>
                <w:rFonts w:hint="cs"/>
                <w:rtl/>
              </w:rPr>
              <w:t xml:space="preserve"> </w:t>
            </w:r>
          </w:p>
        </w:tc>
      </w:tr>
      <w:tr w:rsidR="002D42A0" w14:paraId="2BFDB2A1" w14:textId="77777777" w:rsidTr="00181857">
        <w:trPr>
          <w:cantSplit/>
          <w:trHeight w:val="60"/>
        </w:trPr>
        <w:tc>
          <w:tcPr>
            <w:tcW w:w="1870" w:type="dxa"/>
          </w:tcPr>
          <w:p w14:paraId="55AED033" w14:textId="77777777" w:rsidR="002D42A0" w:rsidRDefault="002D42A0">
            <w:pPr>
              <w:pStyle w:val="TableSideHeading"/>
            </w:pPr>
          </w:p>
        </w:tc>
        <w:tc>
          <w:tcPr>
            <w:tcW w:w="624" w:type="dxa"/>
          </w:tcPr>
          <w:p w14:paraId="2E760E11" w14:textId="77777777" w:rsidR="002D42A0" w:rsidRDefault="002D42A0">
            <w:pPr>
              <w:pStyle w:val="TableText"/>
            </w:pPr>
          </w:p>
        </w:tc>
        <w:tc>
          <w:tcPr>
            <w:tcW w:w="624" w:type="dxa"/>
          </w:tcPr>
          <w:p w14:paraId="02067E57" w14:textId="77777777" w:rsidR="002D42A0" w:rsidRDefault="002D42A0" w:rsidP="00F44C09">
            <w:pPr>
              <w:pStyle w:val="TableText"/>
              <w:numPr>
                <w:ilvl w:val="0"/>
                <w:numId w:val="14"/>
              </w:numPr>
              <w:tabs>
                <w:tab w:val="left" w:pos="624"/>
              </w:tabs>
              <w:jc w:val="both"/>
            </w:pPr>
          </w:p>
        </w:tc>
        <w:tc>
          <w:tcPr>
            <w:tcW w:w="6523" w:type="dxa"/>
            <w:gridSpan w:val="6"/>
          </w:tcPr>
          <w:p w14:paraId="4E29931E" w14:textId="5E6D9188" w:rsidR="002D42A0" w:rsidRDefault="002D42A0">
            <w:pPr>
              <w:pStyle w:val="TableBlock"/>
            </w:pPr>
            <w:r>
              <w:rPr>
                <w:rFonts w:hint="cs"/>
                <w:rtl/>
              </w:rPr>
              <w:t>בסעיף קטן (א) אחרי "</w:t>
            </w:r>
            <w:proofErr w:type="spellStart"/>
            <w:r>
              <w:rPr>
                <w:rFonts w:hint="cs"/>
                <w:rtl/>
              </w:rPr>
              <w:t>הכל</w:t>
            </w:r>
            <w:proofErr w:type="spellEnd"/>
            <w:r>
              <w:rPr>
                <w:rFonts w:hint="cs"/>
                <w:rtl/>
              </w:rPr>
              <w:t xml:space="preserve"> בנוכחותו של אותו אדם" יבוא "</w:t>
            </w:r>
            <w:r w:rsidRPr="00EA7140">
              <w:rPr>
                <w:rtl/>
              </w:rPr>
              <w:t>לעניין סעיף זה, "טובין" או "חפץ" – לרבות מחשב ודבר המגלם חומר מחשב</w:t>
            </w:r>
            <w:r>
              <w:rPr>
                <w:rFonts w:hint="cs"/>
                <w:rtl/>
              </w:rPr>
              <w:t>.</w:t>
            </w:r>
            <w:r w:rsidR="00181857">
              <w:rPr>
                <w:rFonts w:hint="cs"/>
                <w:rtl/>
              </w:rPr>
              <w:t>".</w:t>
            </w:r>
          </w:p>
        </w:tc>
      </w:tr>
      <w:tr w:rsidR="002D42A0" w14:paraId="13DAC744" w14:textId="77777777" w:rsidTr="00181857">
        <w:trPr>
          <w:cantSplit/>
          <w:trHeight w:val="60"/>
        </w:trPr>
        <w:tc>
          <w:tcPr>
            <w:tcW w:w="1870" w:type="dxa"/>
          </w:tcPr>
          <w:p w14:paraId="48F70F94" w14:textId="77777777" w:rsidR="002D42A0" w:rsidRDefault="002D42A0">
            <w:pPr>
              <w:pStyle w:val="TableSideHeading"/>
            </w:pPr>
          </w:p>
        </w:tc>
        <w:tc>
          <w:tcPr>
            <w:tcW w:w="624" w:type="dxa"/>
          </w:tcPr>
          <w:p w14:paraId="491D8BD7" w14:textId="77777777" w:rsidR="002D42A0" w:rsidRDefault="002D42A0" w:rsidP="002D42A0">
            <w:pPr>
              <w:pStyle w:val="TableText"/>
            </w:pPr>
          </w:p>
        </w:tc>
        <w:tc>
          <w:tcPr>
            <w:tcW w:w="624" w:type="dxa"/>
          </w:tcPr>
          <w:p w14:paraId="0D8A803D" w14:textId="77777777" w:rsidR="002D42A0" w:rsidRDefault="002D42A0" w:rsidP="00F44C09">
            <w:pPr>
              <w:pStyle w:val="TableText"/>
              <w:numPr>
                <w:ilvl w:val="0"/>
                <w:numId w:val="14"/>
              </w:numPr>
              <w:tabs>
                <w:tab w:val="left" w:pos="624"/>
              </w:tabs>
              <w:jc w:val="both"/>
            </w:pPr>
          </w:p>
        </w:tc>
        <w:tc>
          <w:tcPr>
            <w:tcW w:w="6523" w:type="dxa"/>
            <w:gridSpan w:val="6"/>
          </w:tcPr>
          <w:p w14:paraId="1566626E" w14:textId="59EAC161" w:rsidR="002D42A0" w:rsidRDefault="002D42A0">
            <w:pPr>
              <w:pStyle w:val="TableBlock"/>
              <w:rPr>
                <w:rtl/>
              </w:rPr>
            </w:pPr>
            <w:r>
              <w:rPr>
                <w:rFonts w:hint="cs"/>
                <w:rtl/>
              </w:rPr>
              <w:t>בסעיף קטן (ב) אחרי "</w:t>
            </w:r>
            <w:r w:rsidRPr="00EA7140">
              <w:rPr>
                <w:rtl/>
              </w:rPr>
              <w:t>שלא בנוכחות ב</w:t>
            </w:r>
            <w:r>
              <w:rPr>
                <w:rtl/>
              </w:rPr>
              <w:t>עליהם או המחזיק בהם ובלא ידיעתו</w:t>
            </w:r>
            <w:r>
              <w:rPr>
                <w:rFonts w:hint="cs"/>
                <w:rtl/>
              </w:rPr>
              <w:t>" יבוא "</w:t>
            </w:r>
            <w:r w:rsidRPr="00EA7140">
              <w:rPr>
                <w:rtl/>
              </w:rPr>
              <w:t xml:space="preserve">ובלבד שלא ניתן, באופן סביר, להשיג את מטרת החיפוש או התפיסה </w:t>
            </w:r>
            <w:r>
              <w:rPr>
                <w:rtl/>
              </w:rPr>
              <w:t>בדרך אחרת שפגיעתה בזכויות פחותה</w:t>
            </w:r>
            <w:r w:rsidR="00181857">
              <w:rPr>
                <w:rFonts w:hint="cs"/>
                <w:rtl/>
              </w:rPr>
              <w:t>.</w:t>
            </w:r>
            <w:r>
              <w:rPr>
                <w:rFonts w:hint="cs"/>
                <w:rtl/>
              </w:rPr>
              <w:t>".</w:t>
            </w:r>
          </w:p>
        </w:tc>
      </w:tr>
      <w:tr w:rsidR="00181857" w14:paraId="4F786AB4" w14:textId="77777777" w:rsidTr="00181857">
        <w:trPr>
          <w:cantSplit/>
          <w:trHeight w:val="60"/>
        </w:trPr>
        <w:tc>
          <w:tcPr>
            <w:tcW w:w="1870" w:type="dxa"/>
          </w:tcPr>
          <w:p w14:paraId="1E099150" w14:textId="7AB2E874" w:rsidR="00181857" w:rsidRDefault="00181857" w:rsidP="007E751D">
            <w:pPr>
              <w:pStyle w:val="TableSideHeading"/>
              <w:keepLines w:val="0"/>
            </w:pPr>
            <w:r>
              <w:rPr>
                <w:rFonts w:hint="cs"/>
                <w:rtl/>
              </w:rPr>
              <w:lastRenderedPageBreak/>
              <w:t>תיקון סעיף 10</w:t>
            </w:r>
          </w:p>
        </w:tc>
        <w:tc>
          <w:tcPr>
            <w:tcW w:w="624" w:type="dxa"/>
          </w:tcPr>
          <w:p w14:paraId="70187331" w14:textId="14D3B449" w:rsidR="00181857" w:rsidRDefault="00181857" w:rsidP="00181857">
            <w:pPr>
              <w:pStyle w:val="TableText"/>
              <w:keepLines w:val="0"/>
              <w:tabs>
                <w:tab w:val="clear" w:pos="624"/>
              </w:tabs>
            </w:pPr>
            <w:r>
              <w:rPr>
                <w:rFonts w:hint="cs"/>
                <w:rtl/>
              </w:rPr>
              <w:t xml:space="preserve">7. </w:t>
            </w:r>
          </w:p>
        </w:tc>
        <w:tc>
          <w:tcPr>
            <w:tcW w:w="7147" w:type="dxa"/>
            <w:gridSpan w:val="7"/>
          </w:tcPr>
          <w:p w14:paraId="7508036D" w14:textId="4DDB9A92" w:rsidR="00181857" w:rsidRPr="00C34DE2" w:rsidRDefault="00181857" w:rsidP="007E751D">
            <w:pPr>
              <w:pStyle w:val="TableBlock"/>
              <w:keepLines w:val="0"/>
            </w:pPr>
            <w:r>
              <w:rPr>
                <w:rFonts w:hint="cs"/>
                <w:rtl/>
              </w:rPr>
              <w:t xml:space="preserve">בסעיף 10 לחוק העיקרי </w:t>
            </w:r>
            <w:r>
              <w:rPr>
                <w:rtl/>
              </w:rPr>
              <w:t>–</w:t>
            </w:r>
            <w:r>
              <w:rPr>
                <w:rFonts w:hint="cs"/>
                <w:rtl/>
              </w:rPr>
              <w:t xml:space="preserve"> </w:t>
            </w:r>
          </w:p>
        </w:tc>
      </w:tr>
      <w:tr w:rsidR="00181857" w14:paraId="5963C8FB" w14:textId="77777777" w:rsidTr="00181857">
        <w:trPr>
          <w:cantSplit/>
          <w:trHeight w:val="60"/>
        </w:trPr>
        <w:tc>
          <w:tcPr>
            <w:tcW w:w="1870" w:type="dxa"/>
          </w:tcPr>
          <w:p w14:paraId="7CC5AF0C" w14:textId="77777777" w:rsidR="00181857" w:rsidRDefault="00181857">
            <w:pPr>
              <w:pStyle w:val="TableSideHeading"/>
            </w:pPr>
          </w:p>
        </w:tc>
        <w:tc>
          <w:tcPr>
            <w:tcW w:w="624" w:type="dxa"/>
          </w:tcPr>
          <w:p w14:paraId="46D961A9" w14:textId="77777777" w:rsidR="00181857" w:rsidRDefault="00181857">
            <w:pPr>
              <w:pStyle w:val="TableText"/>
            </w:pPr>
          </w:p>
        </w:tc>
        <w:tc>
          <w:tcPr>
            <w:tcW w:w="624" w:type="dxa"/>
          </w:tcPr>
          <w:p w14:paraId="1C846571" w14:textId="77777777" w:rsidR="00181857" w:rsidRDefault="00181857" w:rsidP="00F44C09">
            <w:pPr>
              <w:pStyle w:val="TableText"/>
              <w:numPr>
                <w:ilvl w:val="0"/>
                <w:numId w:val="15"/>
              </w:numPr>
              <w:tabs>
                <w:tab w:val="left" w:pos="624"/>
              </w:tabs>
              <w:jc w:val="both"/>
            </w:pPr>
          </w:p>
        </w:tc>
        <w:tc>
          <w:tcPr>
            <w:tcW w:w="6523" w:type="dxa"/>
            <w:gridSpan w:val="6"/>
          </w:tcPr>
          <w:p w14:paraId="1E3459BF" w14:textId="763BC9D7" w:rsidR="00181857" w:rsidRDefault="00181857">
            <w:pPr>
              <w:pStyle w:val="TableBlock"/>
            </w:pPr>
            <w:r>
              <w:rPr>
                <w:rFonts w:hint="cs"/>
                <w:rtl/>
              </w:rPr>
              <w:t>בכותרת השוליים במקום "</w:t>
            </w:r>
            <w:r w:rsidRPr="009D05E7">
              <w:rPr>
                <w:rtl/>
              </w:rPr>
              <w:t>חיפוש סמוי בכלי רכב ובחצרים למטרות מודיעין</w:t>
            </w:r>
            <w:r>
              <w:rPr>
                <w:rFonts w:hint="cs"/>
                <w:rtl/>
              </w:rPr>
              <w:t>" יבוא "</w:t>
            </w:r>
            <w:r w:rsidRPr="00B44C1F">
              <w:rPr>
                <w:rtl/>
              </w:rPr>
              <w:t>חיפוש סמוי בכלי רכב, בחצרים</w:t>
            </w:r>
            <w:r>
              <w:rPr>
                <w:rFonts w:hint="cs"/>
                <w:rtl/>
              </w:rPr>
              <w:t>,</w:t>
            </w:r>
            <w:r w:rsidRPr="00B44C1F">
              <w:rPr>
                <w:rtl/>
              </w:rPr>
              <w:t xml:space="preserve"> במחשב ובחומר מחשב למטרות מודיעין</w:t>
            </w:r>
            <w:r>
              <w:rPr>
                <w:rFonts w:hint="cs"/>
                <w:rtl/>
              </w:rPr>
              <w:t>.".</w:t>
            </w:r>
          </w:p>
        </w:tc>
      </w:tr>
      <w:tr w:rsidR="00181857" w14:paraId="470244C3" w14:textId="77777777" w:rsidTr="00181857">
        <w:trPr>
          <w:cantSplit/>
          <w:trHeight w:val="60"/>
        </w:trPr>
        <w:tc>
          <w:tcPr>
            <w:tcW w:w="1870" w:type="dxa"/>
          </w:tcPr>
          <w:p w14:paraId="5A3CD2D0" w14:textId="77777777" w:rsidR="00181857" w:rsidRDefault="00181857">
            <w:pPr>
              <w:pStyle w:val="TableSideHeading"/>
            </w:pPr>
          </w:p>
        </w:tc>
        <w:tc>
          <w:tcPr>
            <w:tcW w:w="624" w:type="dxa"/>
          </w:tcPr>
          <w:p w14:paraId="6A706E7F" w14:textId="77777777" w:rsidR="00181857" w:rsidRDefault="00181857" w:rsidP="00181857">
            <w:pPr>
              <w:pStyle w:val="TableText"/>
            </w:pPr>
          </w:p>
        </w:tc>
        <w:tc>
          <w:tcPr>
            <w:tcW w:w="624" w:type="dxa"/>
          </w:tcPr>
          <w:p w14:paraId="764BDE6B" w14:textId="77777777" w:rsidR="00181857" w:rsidRDefault="00181857" w:rsidP="00F44C09">
            <w:pPr>
              <w:pStyle w:val="TableText"/>
              <w:numPr>
                <w:ilvl w:val="0"/>
                <w:numId w:val="15"/>
              </w:numPr>
              <w:tabs>
                <w:tab w:val="left" w:pos="624"/>
              </w:tabs>
              <w:jc w:val="both"/>
            </w:pPr>
          </w:p>
        </w:tc>
        <w:tc>
          <w:tcPr>
            <w:tcW w:w="6523" w:type="dxa"/>
            <w:gridSpan w:val="6"/>
          </w:tcPr>
          <w:p w14:paraId="57A0985E" w14:textId="5BA89A97" w:rsidR="00181857" w:rsidRDefault="00181857">
            <w:pPr>
              <w:pStyle w:val="TableBlock"/>
              <w:rPr>
                <w:rtl/>
              </w:rPr>
            </w:pPr>
            <w:r>
              <w:rPr>
                <w:rFonts w:hint="cs"/>
                <w:rtl/>
              </w:rPr>
              <w:t xml:space="preserve">בסעיף קטן (א) </w:t>
            </w:r>
            <w:r>
              <w:rPr>
                <w:rtl/>
              </w:rPr>
              <w:t>–</w:t>
            </w:r>
            <w:r>
              <w:rPr>
                <w:rFonts w:hint="cs"/>
                <w:rtl/>
              </w:rPr>
              <w:t xml:space="preserve"> </w:t>
            </w:r>
          </w:p>
        </w:tc>
      </w:tr>
      <w:tr w:rsidR="00181857" w14:paraId="0145AC02" w14:textId="77777777" w:rsidTr="00181857">
        <w:trPr>
          <w:cantSplit/>
          <w:trHeight w:val="60"/>
        </w:trPr>
        <w:tc>
          <w:tcPr>
            <w:tcW w:w="1870" w:type="dxa"/>
          </w:tcPr>
          <w:p w14:paraId="6E3F7BE7" w14:textId="77777777" w:rsidR="00181857" w:rsidRDefault="00181857">
            <w:pPr>
              <w:pStyle w:val="TableSideHeading"/>
            </w:pPr>
          </w:p>
        </w:tc>
        <w:tc>
          <w:tcPr>
            <w:tcW w:w="624" w:type="dxa"/>
          </w:tcPr>
          <w:p w14:paraId="14814016" w14:textId="77777777" w:rsidR="00181857" w:rsidRDefault="00181857">
            <w:pPr>
              <w:pStyle w:val="TableText"/>
            </w:pPr>
          </w:p>
        </w:tc>
        <w:tc>
          <w:tcPr>
            <w:tcW w:w="624" w:type="dxa"/>
          </w:tcPr>
          <w:p w14:paraId="3D844683" w14:textId="77777777" w:rsidR="00181857" w:rsidRDefault="00181857">
            <w:pPr>
              <w:pStyle w:val="TableText"/>
            </w:pPr>
          </w:p>
        </w:tc>
        <w:tc>
          <w:tcPr>
            <w:tcW w:w="624" w:type="dxa"/>
          </w:tcPr>
          <w:p w14:paraId="1691E41D" w14:textId="77777777" w:rsidR="00181857" w:rsidRDefault="00181857" w:rsidP="00F44C09">
            <w:pPr>
              <w:pStyle w:val="TableText"/>
              <w:numPr>
                <w:ilvl w:val="0"/>
                <w:numId w:val="16"/>
              </w:numPr>
              <w:tabs>
                <w:tab w:val="left" w:pos="624"/>
              </w:tabs>
              <w:jc w:val="both"/>
            </w:pPr>
          </w:p>
        </w:tc>
        <w:tc>
          <w:tcPr>
            <w:tcW w:w="5899" w:type="dxa"/>
            <w:gridSpan w:val="5"/>
          </w:tcPr>
          <w:p w14:paraId="75E8DBD0" w14:textId="1EC0D4C8" w:rsidR="00181857" w:rsidRPr="00181857" w:rsidRDefault="00181857" w:rsidP="00181857">
            <w:pPr>
              <w:pStyle w:val="TableBlock"/>
              <w:tabs>
                <w:tab w:val="clear" w:pos="624"/>
              </w:tabs>
              <w:autoSpaceDE w:val="0"/>
              <w:autoSpaceDN w:val="0"/>
              <w:adjustRightInd w:val="0"/>
              <w:contextualSpacing w:val="0"/>
              <w:textAlignment w:val="center"/>
            </w:pPr>
            <w:r w:rsidRPr="004A0F33">
              <w:rPr>
                <w:rFonts w:hint="cs"/>
                <w:rtl/>
              </w:rPr>
              <w:t>במקום "להתיר בכתב" יבוא "להסמיך בכתב";</w:t>
            </w:r>
          </w:p>
        </w:tc>
      </w:tr>
      <w:tr w:rsidR="00181857" w14:paraId="0D821CE7" w14:textId="77777777" w:rsidTr="00181857">
        <w:trPr>
          <w:cantSplit/>
          <w:trHeight w:val="60"/>
        </w:trPr>
        <w:tc>
          <w:tcPr>
            <w:tcW w:w="1870" w:type="dxa"/>
          </w:tcPr>
          <w:p w14:paraId="0F905EE6" w14:textId="77777777" w:rsidR="00181857" w:rsidRDefault="00181857">
            <w:pPr>
              <w:pStyle w:val="TableSideHeading"/>
            </w:pPr>
          </w:p>
        </w:tc>
        <w:tc>
          <w:tcPr>
            <w:tcW w:w="624" w:type="dxa"/>
          </w:tcPr>
          <w:p w14:paraId="3095633D" w14:textId="77777777" w:rsidR="00181857" w:rsidRDefault="00181857" w:rsidP="00181857">
            <w:pPr>
              <w:pStyle w:val="TableText"/>
            </w:pPr>
          </w:p>
        </w:tc>
        <w:tc>
          <w:tcPr>
            <w:tcW w:w="624" w:type="dxa"/>
          </w:tcPr>
          <w:p w14:paraId="6E0CF226" w14:textId="77777777" w:rsidR="00181857" w:rsidRDefault="00181857">
            <w:pPr>
              <w:pStyle w:val="TableText"/>
            </w:pPr>
          </w:p>
        </w:tc>
        <w:tc>
          <w:tcPr>
            <w:tcW w:w="624" w:type="dxa"/>
          </w:tcPr>
          <w:p w14:paraId="01B29797" w14:textId="77777777" w:rsidR="00181857" w:rsidRDefault="00181857" w:rsidP="00F44C09">
            <w:pPr>
              <w:pStyle w:val="TableText"/>
              <w:numPr>
                <w:ilvl w:val="0"/>
                <w:numId w:val="16"/>
              </w:numPr>
              <w:tabs>
                <w:tab w:val="left" w:pos="624"/>
              </w:tabs>
              <w:jc w:val="both"/>
            </w:pPr>
          </w:p>
        </w:tc>
        <w:tc>
          <w:tcPr>
            <w:tcW w:w="5899" w:type="dxa"/>
            <w:gridSpan w:val="5"/>
          </w:tcPr>
          <w:p w14:paraId="3B6E3207" w14:textId="15010364" w:rsidR="00181857" w:rsidRPr="00181857" w:rsidRDefault="00181857" w:rsidP="00181857">
            <w:pPr>
              <w:pStyle w:val="TableBlock"/>
              <w:tabs>
                <w:tab w:val="clear" w:pos="624"/>
              </w:tabs>
              <w:autoSpaceDE w:val="0"/>
              <w:autoSpaceDN w:val="0"/>
              <w:adjustRightInd w:val="0"/>
              <w:contextualSpacing w:val="0"/>
              <w:textAlignment w:val="center"/>
              <w:rPr>
                <w:rtl/>
              </w:rPr>
            </w:pPr>
            <w:r>
              <w:rPr>
                <w:rFonts w:hint="cs"/>
                <w:rtl/>
              </w:rPr>
              <w:t>אחרי "</w:t>
            </w:r>
            <w:r>
              <w:rPr>
                <w:rtl/>
              </w:rPr>
              <w:t>להיכנס לכלי רכב או לחצרים</w:t>
            </w:r>
            <w:r>
              <w:rPr>
                <w:rFonts w:hint="cs"/>
                <w:rtl/>
              </w:rPr>
              <w:t>" יבוא "</w:t>
            </w:r>
            <w:r>
              <w:rPr>
                <w:rtl/>
              </w:rPr>
              <w:t>וכן לבצע חדירה לחומר מחשב</w:t>
            </w:r>
            <w:r>
              <w:rPr>
                <w:rFonts w:hint="cs"/>
                <w:rtl/>
              </w:rPr>
              <w:t xml:space="preserve">"; </w:t>
            </w:r>
          </w:p>
        </w:tc>
      </w:tr>
      <w:tr w:rsidR="00181857" w14:paraId="002104B1" w14:textId="77777777" w:rsidTr="00181857">
        <w:trPr>
          <w:cantSplit/>
          <w:trHeight w:val="60"/>
        </w:trPr>
        <w:tc>
          <w:tcPr>
            <w:tcW w:w="1870" w:type="dxa"/>
          </w:tcPr>
          <w:p w14:paraId="00B9E077" w14:textId="77777777" w:rsidR="00181857" w:rsidRDefault="00181857">
            <w:pPr>
              <w:pStyle w:val="TableSideHeading"/>
            </w:pPr>
          </w:p>
        </w:tc>
        <w:tc>
          <w:tcPr>
            <w:tcW w:w="624" w:type="dxa"/>
          </w:tcPr>
          <w:p w14:paraId="75E4D572" w14:textId="77777777" w:rsidR="00181857" w:rsidRDefault="00181857" w:rsidP="00181857">
            <w:pPr>
              <w:pStyle w:val="TableText"/>
            </w:pPr>
          </w:p>
        </w:tc>
        <w:tc>
          <w:tcPr>
            <w:tcW w:w="624" w:type="dxa"/>
          </w:tcPr>
          <w:p w14:paraId="66DD7AA9" w14:textId="77777777" w:rsidR="00181857" w:rsidRDefault="00181857">
            <w:pPr>
              <w:pStyle w:val="TableText"/>
            </w:pPr>
          </w:p>
        </w:tc>
        <w:tc>
          <w:tcPr>
            <w:tcW w:w="624" w:type="dxa"/>
          </w:tcPr>
          <w:p w14:paraId="59B7A1B3" w14:textId="77777777" w:rsidR="00181857" w:rsidRDefault="00181857" w:rsidP="00F44C09">
            <w:pPr>
              <w:pStyle w:val="TableText"/>
              <w:numPr>
                <w:ilvl w:val="0"/>
                <w:numId w:val="16"/>
              </w:numPr>
              <w:tabs>
                <w:tab w:val="left" w:pos="624"/>
              </w:tabs>
              <w:jc w:val="both"/>
            </w:pPr>
          </w:p>
        </w:tc>
        <w:tc>
          <w:tcPr>
            <w:tcW w:w="5899" w:type="dxa"/>
            <w:gridSpan w:val="5"/>
          </w:tcPr>
          <w:p w14:paraId="74C336FA" w14:textId="281DF600" w:rsidR="00181857" w:rsidRPr="00181857" w:rsidRDefault="00181857" w:rsidP="00181857">
            <w:pPr>
              <w:pStyle w:val="TableBlock"/>
              <w:tabs>
                <w:tab w:val="clear" w:pos="624"/>
              </w:tabs>
              <w:autoSpaceDE w:val="0"/>
              <w:autoSpaceDN w:val="0"/>
              <w:adjustRightInd w:val="0"/>
              <w:contextualSpacing w:val="0"/>
              <w:textAlignment w:val="center"/>
              <w:rPr>
                <w:rtl/>
              </w:rPr>
            </w:pPr>
            <w:r w:rsidRPr="00181857">
              <w:rPr>
                <w:rtl/>
              </w:rPr>
              <w:t>אחרי "ולערוך שם חיפוש ולאסוף מידע" יבוא "והכל";</w:t>
            </w:r>
          </w:p>
        </w:tc>
      </w:tr>
      <w:tr w:rsidR="00181857" w14:paraId="5DA75D46" w14:textId="77777777" w:rsidTr="00181857">
        <w:trPr>
          <w:cantSplit/>
          <w:trHeight w:val="60"/>
        </w:trPr>
        <w:tc>
          <w:tcPr>
            <w:tcW w:w="1870" w:type="dxa"/>
          </w:tcPr>
          <w:p w14:paraId="19D23001" w14:textId="77777777" w:rsidR="00181857" w:rsidRDefault="00181857">
            <w:pPr>
              <w:pStyle w:val="TableSideHeading"/>
            </w:pPr>
          </w:p>
        </w:tc>
        <w:tc>
          <w:tcPr>
            <w:tcW w:w="624" w:type="dxa"/>
          </w:tcPr>
          <w:p w14:paraId="2F88493E" w14:textId="77777777" w:rsidR="00181857" w:rsidRDefault="00181857" w:rsidP="00181857">
            <w:pPr>
              <w:pStyle w:val="TableText"/>
            </w:pPr>
          </w:p>
        </w:tc>
        <w:tc>
          <w:tcPr>
            <w:tcW w:w="624" w:type="dxa"/>
          </w:tcPr>
          <w:p w14:paraId="1A6E8FD1" w14:textId="77777777" w:rsidR="00181857" w:rsidRDefault="00181857">
            <w:pPr>
              <w:pStyle w:val="TableText"/>
            </w:pPr>
          </w:p>
        </w:tc>
        <w:tc>
          <w:tcPr>
            <w:tcW w:w="624" w:type="dxa"/>
          </w:tcPr>
          <w:p w14:paraId="1E8FF28F" w14:textId="77777777" w:rsidR="00181857" w:rsidRDefault="00181857" w:rsidP="00F44C09">
            <w:pPr>
              <w:pStyle w:val="TableText"/>
              <w:numPr>
                <w:ilvl w:val="0"/>
                <w:numId w:val="16"/>
              </w:numPr>
              <w:tabs>
                <w:tab w:val="left" w:pos="624"/>
              </w:tabs>
              <w:jc w:val="both"/>
            </w:pPr>
          </w:p>
        </w:tc>
        <w:tc>
          <w:tcPr>
            <w:tcW w:w="5899" w:type="dxa"/>
            <w:gridSpan w:val="5"/>
          </w:tcPr>
          <w:p w14:paraId="1359232E" w14:textId="4563838B" w:rsidR="00181857" w:rsidRPr="00181857" w:rsidRDefault="00181857" w:rsidP="00181857">
            <w:pPr>
              <w:pStyle w:val="TableBlock"/>
              <w:tabs>
                <w:tab w:val="clear" w:pos="624"/>
              </w:tabs>
              <w:autoSpaceDE w:val="0"/>
              <w:autoSpaceDN w:val="0"/>
              <w:adjustRightInd w:val="0"/>
              <w:contextualSpacing w:val="0"/>
              <w:textAlignment w:val="center"/>
              <w:rPr>
                <w:rtl/>
              </w:rPr>
            </w:pPr>
            <w:r>
              <w:rPr>
                <w:rFonts w:hint="cs"/>
                <w:rtl/>
              </w:rPr>
              <w:t>אחרי "באותם חצרים" יבוא "</w:t>
            </w:r>
            <w:r w:rsidR="003E553B" w:rsidRPr="00817293">
              <w:rPr>
                <w:rFonts w:hint="cs"/>
                <w:rtl/>
              </w:rPr>
              <w:t>או</w:t>
            </w:r>
            <w:r w:rsidR="003E553B">
              <w:rPr>
                <w:rFonts w:hint="cs"/>
                <w:rtl/>
              </w:rPr>
              <w:t xml:space="preserve"> </w:t>
            </w:r>
            <w:r>
              <w:rPr>
                <w:rtl/>
              </w:rPr>
              <w:t>באותו דבר המגלם חומר מחשב</w:t>
            </w:r>
            <w:r>
              <w:rPr>
                <w:rFonts w:hint="cs"/>
                <w:rtl/>
              </w:rPr>
              <w:t xml:space="preserve">"; </w:t>
            </w:r>
          </w:p>
        </w:tc>
      </w:tr>
      <w:tr w:rsidR="00181857" w14:paraId="2CC7EE3B" w14:textId="77777777" w:rsidTr="00181857">
        <w:trPr>
          <w:cantSplit/>
          <w:trHeight w:val="60"/>
        </w:trPr>
        <w:tc>
          <w:tcPr>
            <w:tcW w:w="1870" w:type="dxa"/>
          </w:tcPr>
          <w:p w14:paraId="790A72BB" w14:textId="77777777" w:rsidR="00181857" w:rsidRDefault="00181857">
            <w:pPr>
              <w:pStyle w:val="TableSideHeading"/>
            </w:pPr>
          </w:p>
        </w:tc>
        <w:tc>
          <w:tcPr>
            <w:tcW w:w="624" w:type="dxa"/>
          </w:tcPr>
          <w:p w14:paraId="20E05D68" w14:textId="77777777" w:rsidR="00181857" w:rsidRDefault="00181857" w:rsidP="00181857">
            <w:pPr>
              <w:pStyle w:val="TableText"/>
            </w:pPr>
          </w:p>
        </w:tc>
        <w:tc>
          <w:tcPr>
            <w:tcW w:w="624" w:type="dxa"/>
          </w:tcPr>
          <w:p w14:paraId="5A6C20CB" w14:textId="77777777" w:rsidR="00181857" w:rsidRDefault="00181857">
            <w:pPr>
              <w:pStyle w:val="TableText"/>
            </w:pPr>
          </w:p>
        </w:tc>
        <w:tc>
          <w:tcPr>
            <w:tcW w:w="624" w:type="dxa"/>
          </w:tcPr>
          <w:p w14:paraId="0132E690" w14:textId="77777777" w:rsidR="00181857" w:rsidRDefault="00181857" w:rsidP="00F44C09">
            <w:pPr>
              <w:pStyle w:val="TableText"/>
              <w:numPr>
                <w:ilvl w:val="0"/>
                <w:numId w:val="16"/>
              </w:numPr>
              <w:tabs>
                <w:tab w:val="left" w:pos="624"/>
              </w:tabs>
              <w:jc w:val="both"/>
            </w:pPr>
          </w:p>
        </w:tc>
        <w:tc>
          <w:tcPr>
            <w:tcW w:w="5899" w:type="dxa"/>
            <w:gridSpan w:val="5"/>
          </w:tcPr>
          <w:p w14:paraId="18C3DB7C" w14:textId="675C2041" w:rsidR="00181857" w:rsidRDefault="00181857" w:rsidP="00181857">
            <w:pPr>
              <w:pStyle w:val="TableBlock"/>
              <w:tabs>
                <w:tab w:val="clear" w:pos="624"/>
              </w:tabs>
              <w:autoSpaceDE w:val="0"/>
              <w:autoSpaceDN w:val="0"/>
              <w:adjustRightInd w:val="0"/>
              <w:contextualSpacing w:val="0"/>
              <w:textAlignment w:val="center"/>
              <w:rPr>
                <w:rtl/>
              </w:rPr>
            </w:pPr>
            <w:r>
              <w:rPr>
                <w:rFonts w:hint="cs"/>
                <w:rtl/>
              </w:rPr>
              <w:t>אחרי "להשיג את מטרת החיפוש בדרך אחרת" יבוא "</w:t>
            </w:r>
            <w:r w:rsidRPr="00035A77">
              <w:rPr>
                <w:rtl/>
              </w:rPr>
              <w:t>שפגיעתה בזכויות פחותה, וזאת לרבות לעניין אופן ביצוע החיפוש, איסוף המידע או החדירה לדבר המגלם חומר מחשב, לפי העניין, ככל שאלו י</w:t>
            </w:r>
            <w:r>
              <w:rPr>
                <w:rtl/>
              </w:rPr>
              <w:t>דועים מראש (להלן – חיפוש סמוי).</w:t>
            </w:r>
            <w:r>
              <w:rPr>
                <w:rFonts w:hint="cs"/>
                <w:rtl/>
              </w:rPr>
              <w:t>".</w:t>
            </w:r>
          </w:p>
        </w:tc>
      </w:tr>
      <w:tr w:rsidR="00181857" w14:paraId="3BFC7291" w14:textId="77777777" w:rsidTr="00181857">
        <w:trPr>
          <w:cantSplit/>
          <w:trHeight w:val="60"/>
        </w:trPr>
        <w:tc>
          <w:tcPr>
            <w:tcW w:w="1870" w:type="dxa"/>
          </w:tcPr>
          <w:p w14:paraId="544E50DA" w14:textId="77777777" w:rsidR="00181857" w:rsidRDefault="00181857">
            <w:pPr>
              <w:pStyle w:val="TableSideHeading"/>
            </w:pPr>
          </w:p>
        </w:tc>
        <w:tc>
          <w:tcPr>
            <w:tcW w:w="624" w:type="dxa"/>
          </w:tcPr>
          <w:p w14:paraId="5B80A2F8" w14:textId="77777777" w:rsidR="00181857" w:rsidRDefault="00181857">
            <w:pPr>
              <w:pStyle w:val="TableText"/>
            </w:pPr>
          </w:p>
        </w:tc>
        <w:tc>
          <w:tcPr>
            <w:tcW w:w="624" w:type="dxa"/>
          </w:tcPr>
          <w:p w14:paraId="70F8F3E2" w14:textId="6E06881F" w:rsidR="00181857" w:rsidRDefault="00181857" w:rsidP="00F44C09">
            <w:pPr>
              <w:pStyle w:val="TableText"/>
              <w:numPr>
                <w:ilvl w:val="0"/>
                <w:numId w:val="15"/>
              </w:numPr>
            </w:pPr>
          </w:p>
        </w:tc>
        <w:tc>
          <w:tcPr>
            <w:tcW w:w="6523" w:type="dxa"/>
            <w:gridSpan w:val="6"/>
          </w:tcPr>
          <w:p w14:paraId="19B1259B" w14:textId="0611AD69" w:rsidR="00181857" w:rsidRDefault="00181857">
            <w:pPr>
              <w:pStyle w:val="TableBlock"/>
            </w:pPr>
            <w:r>
              <w:rPr>
                <w:rFonts w:hint="cs"/>
                <w:rtl/>
              </w:rPr>
              <w:t xml:space="preserve">בסעיף קטן (ב) </w:t>
            </w:r>
            <w:r>
              <w:rPr>
                <w:rtl/>
              </w:rPr>
              <w:t>–</w:t>
            </w:r>
            <w:r>
              <w:rPr>
                <w:rFonts w:hint="cs"/>
                <w:rtl/>
              </w:rPr>
              <w:t xml:space="preserve"> </w:t>
            </w:r>
          </w:p>
        </w:tc>
      </w:tr>
      <w:tr w:rsidR="00181857" w14:paraId="5D0F9E68" w14:textId="77777777" w:rsidTr="00181857">
        <w:trPr>
          <w:cantSplit/>
          <w:trHeight w:val="60"/>
        </w:trPr>
        <w:tc>
          <w:tcPr>
            <w:tcW w:w="1870" w:type="dxa"/>
          </w:tcPr>
          <w:p w14:paraId="6F364FE3" w14:textId="77777777" w:rsidR="00181857" w:rsidRDefault="00181857">
            <w:pPr>
              <w:pStyle w:val="TableSideHeading"/>
            </w:pPr>
          </w:p>
        </w:tc>
        <w:tc>
          <w:tcPr>
            <w:tcW w:w="624" w:type="dxa"/>
          </w:tcPr>
          <w:p w14:paraId="11A3A0E4" w14:textId="77777777" w:rsidR="00181857" w:rsidRDefault="00181857">
            <w:pPr>
              <w:pStyle w:val="TableText"/>
            </w:pPr>
          </w:p>
        </w:tc>
        <w:tc>
          <w:tcPr>
            <w:tcW w:w="624" w:type="dxa"/>
          </w:tcPr>
          <w:p w14:paraId="4D60142F" w14:textId="77777777" w:rsidR="00181857" w:rsidRDefault="00181857">
            <w:pPr>
              <w:pStyle w:val="TableText"/>
            </w:pPr>
          </w:p>
        </w:tc>
        <w:tc>
          <w:tcPr>
            <w:tcW w:w="624" w:type="dxa"/>
          </w:tcPr>
          <w:p w14:paraId="79F3223E" w14:textId="77777777" w:rsidR="00181857" w:rsidRDefault="00181857" w:rsidP="00F44C09">
            <w:pPr>
              <w:pStyle w:val="TableText"/>
              <w:numPr>
                <w:ilvl w:val="0"/>
                <w:numId w:val="17"/>
              </w:numPr>
              <w:tabs>
                <w:tab w:val="left" w:pos="624"/>
              </w:tabs>
              <w:jc w:val="both"/>
            </w:pPr>
          </w:p>
        </w:tc>
        <w:tc>
          <w:tcPr>
            <w:tcW w:w="5899" w:type="dxa"/>
            <w:gridSpan w:val="5"/>
          </w:tcPr>
          <w:p w14:paraId="7F759630" w14:textId="301663D2" w:rsidR="00181857" w:rsidRDefault="00181857" w:rsidP="00181857">
            <w:pPr>
              <w:pStyle w:val="TableBlock"/>
              <w:autoSpaceDE w:val="0"/>
              <w:autoSpaceDN w:val="0"/>
              <w:adjustRightInd w:val="0"/>
              <w:contextualSpacing w:val="0"/>
              <w:textAlignment w:val="center"/>
            </w:pPr>
            <w:r>
              <w:rPr>
                <w:rFonts w:hint="cs"/>
                <w:rtl/>
              </w:rPr>
              <w:t>במקום "72 שעות" יבוא "48 שעות";</w:t>
            </w:r>
          </w:p>
        </w:tc>
      </w:tr>
      <w:tr w:rsidR="00181857" w14:paraId="5CF2ED14" w14:textId="77777777" w:rsidTr="00181857">
        <w:trPr>
          <w:cantSplit/>
          <w:trHeight w:val="60"/>
        </w:trPr>
        <w:tc>
          <w:tcPr>
            <w:tcW w:w="1870" w:type="dxa"/>
          </w:tcPr>
          <w:p w14:paraId="19C26875" w14:textId="77777777" w:rsidR="00181857" w:rsidRDefault="00181857">
            <w:pPr>
              <w:pStyle w:val="TableSideHeading"/>
            </w:pPr>
          </w:p>
        </w:tc>
        <w:tc>
          <w:tcPr>
            <w:tcW w:w="624" w:type="dxa"/>
          </w:tcPr>
          <w:p w14:paraId="522E02DB" w14:textId="77777777" w:rsidR="00181857" w:rsidRDefault="00181857" w:rsidP="00181857">
            <w:pPr>
              <w:pStyle w:val="TableText"/>
            </w:pPr>
          </w:p>
        </w:tc>
        <w:tc>
          <w:tcPr>
            <w:tcW w:w="624" w:type="dxa"/>
          </w:tcPr>
          <w:p w14:paraId="4A3067CC" w14:textId="77777777" w:rsidR="00181857" w:rsidRDefault="00181857">
            <w:pPr>
              <w:pStyle w:val="TableText"/>
            </w:pPr>
          </w:p>
        </w:tc>
        <w:tc>
          <w:tcPr>
            <w:tcW w:w="624" w:type="dxa"/>
          </w:tcPr>
          <w:p w14:paraId="3E0AC797" w14:textId="77777777" w:rsidR="00181857" w:rsidRDefault="00181857" w:rsidP="00F44C09">
            <w:pPr>
              <w:pStyle w:val="TableText"/>
              <w:numPr>
                <w:ilvl w:val="0"/>
                <w:numId w:val="17"/>
              </w:numPr>
              <w:tabs>
                <w:tab w:val="left" w:pos="624"/>
              </w:tabs>
              <w:jc w:val="both"/>
            </w:pPr>
          </w:p>
        </w:tc>
        <w:tc>
          <w:tcPr>
            <w:tcW w:w="5899" w:type="dxa"/>
            <w:gridSpan w:val="5"/>
          </w:tcPr>
          <w:p w14:paraId="3E97B476" w14:textId="6EAB06C1" w:rsidR="00181857" w:rsidRDefault="00181857" w:rsidP="00181857">
            <w:pPr>
              <w:pStyle w:val="TableBlock"/>
              <w:autoSpaceDE w:val="0"/>
              <w:autoSpaceDN w:val="0"/>
              <w:adjustRightInd w:val="0"/>
              <w:contextualSpacing w:val="0"/>
              <w:textAlignment w:val="center"/>
              <w:rPr>
                <w:rtl/>
              </w:rPr>
            </w:pPr>
            <w:r>
              <w:rPr>
                <w:rFonts w:hint="cs"/>
                <w:rtl/>
              </w:rPr>
              <w:t>אחרי "ממועד מתן ההיתר" יבוא "</w:t>
            </w:r>
            <w:r w:rsidRPr="00035A77">
              <w:rPr>
                <w:rtl/>
              </w:rPr>
              <w:t>ראש הממשלה יהיה רשאי לבטל את ההיתר או להאריכו בהתאם לאמור בסעיף קטן (א), ככל שהדבר נדרש</w:t>
            </w:r>
            <w:r>
              <w:rPr>
                <w:rFonts w:hint="cs"/>
                <w:rtl/>
              </w:rPr>
              <w:t>.".</w:t>
            </w:r>
          </w:p>
        </w:tc>
      </w:tr>
      <w:tr w:rsidR="00181857" w14:paraId="59EF574F" w14:textId="77777777" w:rsidTr="00181857">
        <w:trPr>
          <w:cantSplit/>
          <w:trHeight w:val="60"/>
        </w:trPr>
        <w:tc>
          <w:tcPr>
            <w:tcW w:w="1870" w:type="dxa"/>
          </w:tcPr>
          <w:p w14:paraId="322F00FE" w14:textId="77777777" w:rsidR="00181857" w:rsidRDefault="00181857">
            <w:pPr>
              <w:pStyle w:val="TableSideHeading"/>
            </w:pPr>
          </w:p>
        </w:tc>
        <w:tc>
          <w:tcPr>
            <w:tcW w:w="624" w:type="dxa"/>
          </w:tcPr>
          <w:p w14:paraId="5045D2E2" w14:textId="77777777" w:rsidR="00181857" w:rsidRDefault="00181857">
            <w:pPr>
              <w:pStyle w:val="TableText"/>
            </w:pPr>
          </w:p>
        </w:tc>
        <w:tc>
          <w:tcPr>
            <w:tcW w:w="624" w:type="dxa"/>
          </w:tcPr>
          <w:p w14:paraId="21B8144D" w14:textId="4E223356" w:rsidR="00181857" w:rsidRDefault="00181857" w:rsidP="00F44C09">
            <w:pPr>
              <w:pStyle w:val="TableText"/>
              <w:numPr>
                <w:ilvl w:val="0"/>
                <w:numId w:val="15"/>
              </w:numPr>
            </w:pPr>
          </w:p>
        </w:tc>
        <w:tc>
          <w:tcPr>
            <w:tcW w:w="6523" w:type="dxa"/>
            <w:gridSpan w:val="6"/>
          </w:tcPr>
          <w:p w14:paraId="2DEF8C8A" w14:textId="68900B14" w:rsidR="00181857" w:rsidRDefault="00181857">
            <w:pPr>
              <w:pStyle w:val="TableBlock"/>
            </w:pPr>
            <w:r>
              <w:rPr>
                <w:rFonts w:hint="cs"/>
                <w:rtl/>
              </w:rPr>
              <w:t>במקום סעיף קטן (ג)  יבוא "</w:t>
            </w:r>
            <w:r w:rsidRPr="00B44C1F">
              <w:rPr>
                <w:rtl/>
              </w:rPr>
              <w:t>(ג)</w:t>
            </w:r>
            <w:r w:rsidRPr="00B44C1F">
              <w:rPr>
                <w:rtl/>
              </w:rPr>
              <w:tab/>
              <w:t>בבקשה להיתר לפי סעיף זה יפורטו כלי הרכב, החצרים, המחשב או דבר המגלם חומר מחשב שלגביהם מבוקש ההיתר, המידע שמבקשים לאסוף, אם הוא ידוע מראש, והצורך באיסופו כאמור בסעיף קטן (א), אופן ביצוע החיפוש והאיסוף, ככל שזה ידוע מראש, ו</w:t>
            </w:r>
            <w:r>
              <w:rPr>
                <w:rtl/>
              </w:rPr>
              <w:t>כן תקופת תוקפו של ההיתר המבוקש;</w:t>
            </w:r>
            <w:r>
              <w:rPr>
                <w:rFonts w:hint="cs"/>
                <w:rtl/>
              </w:rPr>
              <w:t>".</w:t>
            </w:r>
          </w:p>
        </w:tc>
      </w:tr>
      <w:tr w:rsidR="00181857" w14:paraId="3AD9A8FF" w14:textId="77777777" w:rsidTr="00181857">
        <w:trPr>
          <w:cantSplit/>
          <w:trHeight w:val="60"/>
        </w:trPr>
        <w:tc>
          <w:tcPr>
            <w:tcW w:w="1870" w:type="dxa"/>
          </w:tcPr>
          <w:p w14:paraId="5231E0BC" w14:textId="77777777" w:rsidR="00181857" w:rsidRDefault="00181857">
            <w:pPr>
              <w:pStyle w:val="TableSideHeading"/>
            </w:pPr>
          </w:p>
        </w:tc>
        <w:tc>
          <w:tcPr>
            <w:tcW w:w="624" w:type="dxa"/>
          </w:tcPr>
          <w:p w14:paraId="5E876E87" w14:textId="77777777" w:rsidR="00181857" w:rsidRDefault="00181857" w:rsidP="00181857">
            <w:pPr>
              <w:pStyle w:val="TableText"/>
            </w:pPr>
          </w:p>
        </w:tc>
        <w:tc>
          <w:tcPr>
            <w:tcW w:w="624" w:type="dxa"/>
          </w:tcPr>
          <w:p w14:paraId="0CA80FE8" w14:textId="77777777" w:rsidR="00181857" w:rsidRDefault="00181857" w:rsidP="00F44C09">
            <w:pPr>
              <w:pStyle w:val="TableText"/>
              <w:numPr>
                <w:ilvl w:val="0"/>
                <w:numId w:val="15"/>
              </w:numPr>
            </w:pPr>
          </w:p>
        </w:tc>
        <w:tc>
          <w:tcPr>
            <w:tcW w:w="6523" w:type="dxa"/>
            <w:gridSpan w:val="6"/>
          </w:tcPr>
          <w:p w14:paraId="2676E91C" w14:textId="23FAB072" w:rsidR="00181857" w:rsidRDefault="00181857">
            <w:pPr>
              <w:pStyle w:val="TableBlock"/>
              <w:rPr>
                <w:rtl/>
              </w:rPr>
            </w:pPr>
            <w:r>
              <w:rPr>
                <w:rFonts w:hint="cs"/>
                <w:rtl/>
              </w:rPr>
              <w:t xml:space="preserve">בסעיף קטן (ד) </w:t>
            </w:r>
            <w:r>
              <w:rPr>
                <w:rtl/>
              </w:rPr>
              <w:t>–</w:t>
            </w:r>
            <w:r>
              <w:rPr>
                <w:rFonts w:hint="cs"/>
                <w:rtl/>
              </w:rPr>
              <w:t xml:space="preserve"> </w:t>
            </w:r>
          </w:p>
        </w:tc>
      </w:tr>
      <w:tr w:rsidR="00181857" w14:paraId="0E5A66A8" w14:textId="77777777" w:rsidTr="00F10D0E">
        <w:trPr>
          <w:cantSplit/>
          <w:trHeight w:val="60"/>
        </w:trPr>
        <w:tc>
          <w:tcPr>
            <w:tcW w:w="1870" w:type="dxa"/>
          </w:tcPr>
          <w:p w14:paraId="634FCEEB" w14:textId="77777777" w:rsidR="00181857" w:rsidRDefault="00181857">
            <w:pPr>
              <w:pStyle w:val="TableSideHeading"/>
            </w:pPr>
          </w:p>
        </w:tc>
        <w:tc>
          <w:tcPr>
            <w:tcW w:w="624" w:type="dxa"/>
          </w:tcPr>
          <w:p w14:paraId="07C1EE7B" w14:textId="77777777" w:rsidR="00181857" w:rsidRDefault="00181857">
            <w:pPr>
              <w:pStyle w:val="TableText"/>
            </w:pPr>
          </w:p>
        </w:tc>
        <w:tc>
          <w:tcPr>
            <w:tcW w:w="624" w:type="dxa"/>
          </w:tcPr>
          <w:p w14:paraId="35E6A7BF" w14:textId="77777777" w:rsidR="00181857" w:rsidRDefault="00181857">
            <w:pPr>
              <w:pStyle w:val="TableText"/>
            </w:pPr>
          </w:p>
        </w:tc>
        <w:tc>
          <w:tcPr>
            <w:tcW w:w="624" w:type="dxa"/>
          </w:tcPr>
          <w:p w14:paraId="6CBE13AA" w14:textId="31CFB565" w:rsidR="00181857" w:rsidRDefault="00181857" w:rsidP="00F44C09">
            <w:pPr>
              <w:pStyle w:val="TableText"/>
              <w:numPr>
                <w:ilvl w:val="0"/>
                <w:numId w:val="18"/>
              </w:numPr>
              <w:tabs>
                <w:tab w:val="left" w:pos="624"/>
              </w:tabs>
              <w:jc w:val="both"/>
            </w:pPr>
          </w:p>
        </w:tc>
        <w:tc>
          <w:tcPr>
            <w:tcW w:w="5899" w:type="dxa"/>
            <w:gridSpan w:val="5"/>
          </w:tcPr>
          <w:p w14:paraId="53055353" w14:textId="2F1A5BE7" w:rsidR="00181857" w:rsidRPr="00181857" w:rsidRDefault="00181857">
            <w:pPr>
              <w:pStyle w:val="TableBlock"/>
            </w:pPr>
            <w:r w:rsidRPr="00181857">
              <w:rPr>
                <w:rtl/>
              </w:rPr>
              <w:t>אחרי "אחת ל-30 ימים" יבוא "ולוועדת הכנסת לענייני השירות – אחת לשנה";</w:t>
            </w:r>
          </w:p>
        </w:tc>
      </w:tr>
      <w:tr w:rsidR="00181857" w14:paraId="00544786" w14:textId="77777777" w:rsidTr="00F10D0E">
        <w:trPr>
          <w:cantSplit/>
          <w:trHeight w:val="60"/>
        </w:trPr>
        <w:tc>
          <w:tcPr>
            <w:tcW w:w="1870" w:type="dxa"/>
          </w:tcPr>
          <w:p w14:paraId="6CCC3E29" w14:textId="77777777" w:rsidR="00181857" w:rsidRDefault="00181857">
            <w:pPr>
              <w:pStyle w:val="TableSideHeading"/>
            </w:pPr>
          </w:p>
        </w:tc>
        <w:tc>
          <w:tcPr>
            <w:tcW w:w="624" w:type="dxa"/>
          </w:tcPr>
          <w:p w14:paraId="72799EBB" w14:textId="77777777" w:rsidR="00181857" w:rsidRDefault="00181857" w:rsidP="00181857">
            <w:pPr>
              <w:pStyle w:val="TableText"/>
            </w:pPr>
          </w:p>
        </w:tc>
        <w:tc>
          <w:tcPr>
            <w:tcW w:w="624" w:type="dxa"/>
          </w:tcPr>
          <w:p w14:paraId="3ECB653E" w14:textId="77777777" w:rsidR="00181857" w:rsidRDefault="00181857">
            <w:pPr>
              <w:pStyle w:val="TableText"/>
            </w:pPr>
          </w:p>
        </w:tc>
        <w:tc>
          <w:tcPr>
            <w:tcW w:w="624" w:type="dxa"/>
          </w:tcPr>
          <w:p w14:paraId="1BF7D85D" w14:textId="77777777" w:rsidR="00181857" w:rsidRDefault="00181857" w:rsidP="00F44C09">
            <w:pPr>
              <w:pStyle w:val="TableText"/>
              <w:numPr>
                <w:ilvl w:val="0"/>
                <w:numId w:val="18"/>
              </w:numPr>
              <w:tabs>
                <w:tab w:val="left" w:pos="624"/>
              </w:tabs>
              <w:jc w:val="both"/>
            </w:pPr>
          </w:p>
        </w:tc>
        <w:tc>
          <w:tcPr>
            <w:tcW w:w="5899" w:type="dxa"/>
            <w:gridSpan w:val="5"/>
          </w:tcPr>
          <w:p w14:paraId="0E341D4A" w14:textId="47C39162" w:rsidR="00181857" w:rsidRPr="00181857" w:rsidRDefault="00181857">
            <w:pPr>
              <w:pStyle w:val="TableBlock"/>
              <w:rPr>
                <w:rtl/>
              </w:rPr>
            </w:pPr>
            <w:r>
              <w:rPr>
                <w:rFonts w:hint="cs"/>
                <w:rtl/>
              </w:rPr>
              <w:t>אחרי "על היתרים שניתנו לפי סעיף זה" יבוא "</w:t>
            </w:r>
            <w:r w:rsidRPr="00B44C1F">
              <w:rPr>
                <w:rtl/>
              </w:rPr>
              <w:t>הדיווח יכלול את</w:t>
            </w:r>
            <w:r>
              <w:rPr>
                <w:rFonts w:hint="cs"/>
                <w:rtl/>
              </w:rPr>
              <w:t xml:space="preserve"> </w:t>
            </w:r>
            <w:r w:rsidRPr="00B44C1F">
              <w:rPr>
                <w:rtl/>
              </w:rPr>
              <w:t>התכליות לשמן התבקשו ההיתרים, מספר ההיתרים שניתנו והערכה בדבר מידת התועלת שהופקה מה</w:t>
            </w:r>
            <w:r>
              <w:rPr>
                <w:rtl/>
              </w:rPr>
              <w:t>מידע שהתקבל כתוצאה ממתן ההיתרים</w:t>
            </w:r>
            <w:r>
              <w:rPr>
                <w:rFonts w:hint="cs"/>
                <w:rtl/>
              </w:rPr>
              <w:t>.".</w:t>
            </w:r>
          </w:p>
        </w:tc>
      </w:tr>
      <w:tr w:rsidR="00181857" w14:paraId="2CA59337" w14:textId="77777777" w:rsidTr="00F10D0E">
        <w:trPr>
          <w:cantSplit/>
          <w:trHeight w:val="60"/>
        </w:trPr>
        <w:tc>
          <w:tcPr>
            <w:tcW w:w="1870" w:type="dxa"/>
          </w:tcPr>
          <w:p w14:paraId="22DED0F8" w14:textId="77777777" w:rsidR="00181857" w:rsidRDefault="00181857">
            <w:pPr>
              <w:pStyle w:val="TableSideHeading"/>
            </w:pPr>
          </w:p>
        </w:tc>
        <w:tc>
          <w:tcPr>
            <w:tcW w:w="624" w:type="dxa"/>
          </w:tcPr>
          <w:p w14:paraId="59037AC1" w14:textId="77777777" w:rsidR="00181857" w:rsidRDefault="00181857">
            <w:pPr>
              <w:pStyle w:val="TableText"/>
            </w:pPr>
          </w:p>
        </w:tc>
        <w:tc>
          <w:tcPr>
            <w:tcW w:w="624" w:type="dxa"/>
          </w:tcPr>
          <w:p w14:paraId="758934F2" w14:textId="3E1A8375" w:rsidR="00181857" w:rsidRDefault="00181857" w:rsidP="00F44C09">
            <w:pPr>
              <w:pStyle w:val="TableText"/>
              <w:numPr>
                <w:ilvl w:val="0"/>
                <w:numId w:val="15"/>
              </w:numPr>
            </w:pPr>
            <w:r>
              <w:rPr>
                <w:rFonts w:hint="cs"/>
              </w:rPr>
              <w:t>T</w:t>
            </w:r>
          </w:p>
        </w:tc>
        <w:tc>
          <w:tcPr>
            <w:tcW w:w="6523" w:type="dxa"/>
            <w:gridSpan w:val="6"/>
          </w:tcPr>
          <w:p w14:paraId="2BC12B44" w14:textId="2E70814D" w:rsidR="00181857" w:rsidRDefault="00181857">
            <w:pPr>
              <w:pStyle w:val="TableBlock"/>
              <w:rPr>
                <w:rtl/>
              </w:rPr>
            </w:pPr>
            <w:r>
              <w:rPr>
                <w:rFonts w:hint="cs"/>
                <w:rtl/>
              </w:rPr>
              <w:t>אחרי סעיף קטן (ד) יבוא</w:t>
            </w:r>
            <w:r w:rsidR="003E51E5">
              <w:rPr>
                <w:rFonts w:hint="cs"/>
                <w:rtl/>
              </w:rPr>
              <w:t>:</w:t>
            </w:r>
          </w:p>
        </w:tc>
      </w:tr>
      <w:tr w:rsidR="00181857" w14:paraId="21840D11" w14:textId="77777777" w:rsidTr="00F10D0E">
        <w:trPr>
          <w:cantSplit/>
          <w:trHeight w:val="60"/>
        </w:trPr>
        <w:tc>
          <w:tcPr>
            <w:tcW w:w="1870" w:type="dxa"/>
          </w:tcPr>
          <w:p w14:paraId="100A7A48" w14:textId="77777777" w:rsidR="00181857" w:rsidRDefault="00181857">
            <w:pPr>
              <w:pStyle w:val="TableSideHeading"/>
            </w:pPr>
          </w:p>
        </w:tc>
        <w:tc>
          <w:tcPr>
            <w:tcW w:w="624" w:type="dxa"/>
          </w:tcPr>
          <w:p w14:paraId="7D01D805" w14:textId="77777777" w:rsidR="00181857" w:rsidRDefault="00181857">
            <w:pPr>
              <w:pStyle w:val="TableText"/>
            </w:pPr>
          </w:p>
        </w:tc>
        <w:tc>
          <w:tcPr>
            <w:tcW w:w="624" w:type="dxa"/>
          </w:tcPr>
          <w:p w14:paraId="4AC93D0A" w14:textId="77777777" w:rsidR="00181857" w:rsidRDefault="00181857">
            <w:pPr>
              <w:pStyle w:val="TableText"/>
            </w:pPr>
          </w:p>
        </w:tc>
        <w:tc>
          <w:tcPr>
            <w:tcW w:w="624" w:type="dxa"/>
          </w:tcPr>
          <w:p w14:paraId="253780FA" w14:textId="7F261F5E" w:rsidR="00181857" w:rsidRDefault="002E55EF" w:rsidP="002E55EF">
            <w:pPr>
              <w:pStyle w:val="TableText"/>
            </w:pPr>
            <w:r>
              <w:rPr>
                <w:rFonts w:hint="cs"/>
                <w:rtl/>
              </w:rPr>
              <w:t>"(ה)</w:t>
            </w:r>
          </w:p>
        </w:tc>
        <w:tc>
          <w:tcPr>
            <w:tcW w:w="5899" w:type="dxa"/>
            <w:gridSpan w:val="5"/>
          </w:tcPr>
          <w:p w14:paraId="5D5BB037" w14:textId="015732DF" w:rsidR="00181857" w:rsidRDefault="00181857" w:rsidP="00181857">
            <w:pPr>
              <w:pStyle w:val="TableBlock"/>
            </w:pPr>
            <w:r w:rsidRPr="0011218E">
              <w:rPr>
                <w:rtl/>
              </w:rPr>
              <w:t>על אף הוראות סעיפים קטנים (א) עד (ד), לא יבוצע חיפוש סמוי אצל בעלי המקצוע המפורטים בסעיף 9א לחוק האזנת סתר, אלא באישור בית משפט ויחולו לעניין זה הוראות סעיף 9א(א)(1) ו–(ב) לחוק האמור בשינויים המחויבים; אין באמור בסעיף קטן זה כדי לגרוע מסמכות ראש רשות ביטחון לפי סעיף 5 לחוק האמור</w:t>
            </w:r>
            <w:r>
              <w:rPr>
                <w:rFonts w:hint="cs"/>
                <w:rtl/>
              </w:rPr>
              <w:t>.</w:t>
            </w:r>
          </w:p>
        </w:tc>
      </w:tr>
      <w:tr w:rsidR="00181857" w14:paraId="747A3724" w14:textId="77777777" w:rsidTr="00F10D0E">
        <w:trPr>
          <w:cantSplit/>
          <w:trHeight w:val="60"/>
        </w:trPr>
        <w:tc>
          <w:tcPr>
            <w:tcW w:w="1870" w:type="dxa"/>
          </w:tcPr>
          <w:p w14:paraId="648D7E43" w14:textId="77777777" w:rsidR="00181857" w:rsidRDefault="00181857">
            <w:pPr>
              <w:pStyle w:val="TableSideHeading"/>
            </w:pPr>
          </w:p>
        </w:tc>
        <w:tc>
          <w:tcPr>
            <w:tcW w:w="624" w:type="dxa"/>
          </w:tcPr>
          <w:p w14:paraId="2331BE43" w14:textId="77777777" w:rsidR="00181857" w:rsidRDefault="00181857" w:rsidP="00181857">
            <w:pPr>
              <w:pStyle w:val="TableText"/>
            </w:pPr>
          </w:p>
        </w:tc>
        <w:tc>
          <w:tcPr>
            <w:tcW w:w="624" w:type="dxa"/>
          </w:tcPr>
          <w:p w14:paraId="465CD5B9" w14:textId="77777777" w:rsidR="00181857" w:rsidRDefault="00181857">
            <w:pPr>
              <w:pStyle w:val="TableText"/>
            </w:pPr>
          </w:p>
        </w:tc>
        <w:tc>
          <w:tcPr>
            <w:tcW w:w="624" w:type="dxa"/>
          </w:tcPr>
          <w:p w14:paraId="727FFBB0" w14:textId="6B1AA815" w:rsidR="00181857" w:rsidRDefault="002E55EF" w:rsidP="002E55EF">
            <w:pPr>
              <w:pStyle w:val="TableText"/>
            </w:pPr>
            <w:r>
              <w:rPr>
                <w:rFonts w:hint="cs"/>
                <w:rtl/>
              </w:rPr>
              <w:t>(ו)</w:t>
            </w:r>
          </w:p>
        </w:tc>
        <w:tc>
          <w:tcPr>
            <w:tcW w:w="5899" w:type="dxa"/>
            <w:gridSpan w:val="5"/>
          </w:tcPr>
          <w:p w14:paraId="32E774D7" w14:textId="4FD0EE7B" w:rsidR="00181857" w:rsidRPr="00181857" w:rsidRDefault="00181857" w:rsidP="00181857">
            <w:pPr>
              <w:pStyle w:val="TableBlock"/>
              <w:rPr>
                <w:rtl/>
              </w:rPr>
            </w:pPr>
            <w:r w:rsidRPr="0011218E">
              <w:rPr>
                <w:rtl/>
              </w:rPr>
              <w:t>התקבל היתר לחדירה לדבר המגלם חומר מחשב לפי סעיף זה, ואגב ביצועו התקבל מידע מתקשורת בין מחשבים – קבלת מידע זה לא תיחשב להאזנת סתר לפי חוק האזנת סתר</w:t>
            </w:r>
            <w:r>
              <w:rPr>
                <w:rFonts w:hint="cs"/>
                <w:rtl/>
              </w:rPr>
              <w:t>.</w:t>
            </w:r>
          </w:p>
        </w:tc>
      </w:tr>
      <w:tr w:rsidR="00181857" w14:paraId="5E7A1551" w14:textId="77777777" w:rsidTr="00F10D0E">
        <w:trPr>
          <w:cantSplit/>
          <w:trHeight w:val="60"/>
        </w:trPr>
        <w:tc>
          <w:tcPr>
            <w:tcW w:w="1870" w:type="dxa"/>
          </w:tcPr>
          <w:p w14:paraId="5004A8EC" w14:textId="77777777" w:rsidR="00181857" w:rsidRDefault="00181857">
            <w:pPr>
              <w:pStyle w:val="TableSideHeading"/>
            </w:pPr>
          </w:p>
        </w:tc>
        <w:tc>
          <w:tcPr>
            <w:tcW w:w="624" w:type="dxa"/>
          </w:tcPr>
          <w:p w14:paraId="5DD136BB" w14:textId="77777777" w:rsidR="00181857" w:rsidRDefault="00181857" w:rsidP="00181857">
            <w:pPr>
              <w:pStyle w:val="TableText"/>
            </w:pPr>
          </w:p>
        </w:tc>
        <w:tc>
          <w:tcPr>
            <w:tcW w:w="624" w:type="dxa"/>
          </w:tcPr>
          <w:p w14:paraId="3E2D8B56" w14:textId="77777777" w:rsidR="00181857" w:rsidRDefault="00181857">
            <w:pPr>
              <w:pStyle w:val="TableText"/>
            </w:pPr>
          </w:p>
        </w:tc>
        <w:tc>
          <w:tcPr>
            <w:tcW w:w="624" w:type="dxa"/>
          </w:tcPr>
          <w:p w14:paraId="74472F31" w14:textId="15E3CCF8" w:rsidR="00181857" w:rsidRDefault="002E55EF" w:rsidP="002E55EF">
            <w:pPr>
              <w:pStyle w:val="TableText"/>
            </w:pPr>
            <w:r>
              <w:rPr>
                <w:rFonts w:hint="cs"/>
                <w:rtl/>
              </w:rPr>
              <w:t>(ז)</w:t>
            </w:r>
          </w:p>
        </w:tc>
        <w:tc>
          <w:tcPr>
            <w:tcW w:w="5899" w:type="dxa"/>
            <w:gridSpan w:val="5"/>
          </w:tcPr>
          <w:p w14:paraId="69EA598B" w14:textId="25E9A191" w:rsidR="00181857" w:rsidRPr="00181857" w:rsidRDefault="00181857" w:rsidP="00181857">
            <w:pPr>
              <w:pStyle w:val="TableBlock"/>
              <w:rPr>
                <w:rtl/>
              </w:rPr>
            </w:pPr>
            <w:r w:rsidRPr="0011218E">
              <w:rPr>
                <w:rtl/>
              </w:rPr>
              <w:t>לא יוסמך בעל תפקיד כאמור מבין עובדי השירות לביצוע חדירה לחומר מחשב אלא לאחר שעבר הכשרה מתאימה הנדרשת לצורך ביצוע החדירה לחומר מחשב, שקבע ראש שירות הביטחון הכללי בכללים, ורשאי הוא לקבוע הכשרות שונות לעניין סוגים שונים של פעולות הדרושות לצורך חדירה לחומר מחשב או לעניין סוגים שונים של חומר מחשב.</w:t>
            </w:r>
          </w:p>
        </w:tc>
      </w:tr>
      <w:tr w:rsidR="00181857" w14:paraId="6219F976" w14:textId="77777777" w:rsidTr="00F10D0E">
        <w:trPr>
          <w:cantSplit/>
          <w:trHeight w:val="60"/>
        </w:trPr>
        <w:tc>
          <w:tcPr>
            <w:tcW w:w="1870" w:type="dxa"/>
          </w:tcPr>
          <w:p w14:paraId="5B05588A" w14:textId="77777777" w:rsidR="00181857" w:rsidRDefault="00181857">
            <w:pPr>
              <w:pStyle w:val="TableSideHeading"/>
            </w:pPr>
          </w:p>
        </w:tc>
        <w:tc>
          <w:tcPr>
            <w:tcW w:w="624" w:type="dxa"/>
          </w:tcPr>
          <w:p w14:paraId="77229C4B" w14:textId="77777777" w:rsidR="00181857" w:rsidRDefault="00181857" w:rsidP="00181857">
            <w:pPr>
              <w:pStyle w:val="TableText"/>
            </w:pPr>
          </w:p>
        </w:tc>
        <w:tc>
          <w:tcPr>
            <w:tcW w:w="624" w:type="dxa"/>
          </w:tcPr>
          <w:p w14:paraId="05D2D43F" w14:textId="77777777" w:rsidR="00181857" w:rsidRDefault="00181857">
            <w:pPr>
              <w:pStyle w:val="TableText"/>
            </w:pPr>
          </w:p>
        </w:tc>
        <w:tc>
          <w:tcPr>
            <w:tcW w:w="624" w:type="dxa"/>
          </w:tcPr>
          <w:p w14:paraId="0425370D" w14:textId="4529FDB9" w:rsidR="00181857" w:rsidRDefault="002E55EF" w:rsidP="002E55EF">
            <w:pPr>
              <w:pStyle w:val="TableText"/>
            </w:pPr>
            <w:r>
              <w:rPr>
                <w:rFonts w:hint="cs"/>
                <w:rtl/>
              </w:rPr>
              <w:t>(ח)</w:t>
            </w:r>
          </w:p>
        </w:tc>
        <w:tc>
          <w:tcPr>
            <w:tcW w:w="5899" w:type="dxa"/>
            <w:gridSpan w:val="5"/>
          </w:tcPr>
          <w:p w14:paraId="22BDB01C" w14:textId="0EE7FA37" w:rsidR="00181857" w:rsidRDefault="00181857" w:rsidP="00181857">
            <w:pPr>
              <w:pStyle w:val="TableBlock"/>
              <w:rPr>
                <w:rtl/>
              </w:rPr>
            </w:pPr>
            <w:r w:rsidRPr="0011218E">
              <w:rPr>
                <w:rtl/>
              </w:rPr>
              <w:t xml:space="preserve">שימוש במאגר מידע כהגדרתו </w:t>
            </w:r>
            <w:r>
              <w:rPr>
                <w:rFonts w:hint="cs"/>
                <w:rtl/>
              </w:rPr>
              <w:t>ב</w:t>
            </w:r>
            <w:r w:rsidRPr="0011218E">
              <w:rPr>
                <w:rtl/>
              </w:rPr>
              <w:t>סעיף 8א לחוק שהתקבל אגב ביצוע היתר לפי סעיף זה, ייעשה בהתאם להוראות סעיף 8א.</w:t>
            </w:r>
            <w:r>
              <w:rPr>
                <w:rFonts w:hint="cs"/>
                <w:rtl/>
              </w:rPr>
              <w:t>".</w:t>
            </w:r>
          </w:p>
        </w:tc>
      </w:tr>
      <w:tr w:rsidR="00181857" w14:paraId="33A90910" w14:textId="77777777" w:rsidTr="00F10D0E">
        <w:trPr>
          <w:cantSplit/>
          <w:trHeight w:val="60"/>
        </w:trPr>
        <w:tc>
          <w:tcPr>
            <w:tcW w:w="1870" w:type="dxa"/>
          </w:tcPr>
          <w:p w14:paraId="230D1600" w14:textId="1CBCBA24" w:rsidR="00181857" w:rsidRPr="00181857" w:rsidRDefault="00181857" w:rsidP="007E751D">
            <w:pPr>
              <w:pStyle w:val="TableSideHeading"/>
              <w:keepLines w:val="0"/>
            </w:pPr>
            <w:r>
              <w:rPr>
                <w:rFonts w:hint="cs"/>
                <w:rtl/>
              </w:rPr>
              <w:t>הוספת סעיף 10א</w:t>
            </w:r>
          </w:p>
        </w:tc>
        <w:tc>
          <w:tcPr>
            <w:tcW w:w="624" w:type="dxa"/>
          </w:tcPr>
          <w:p w14:paraId="4811C256" w14:textId="4E1AC05C" w:rsidR="00181857" w:rsidRDefault="00181857" w:rsidP="00181857">
            <w:pPr>
              <w:pStyle w:val="TableText"/>
              <w:keepLines w:val="0"/>
              <w:tabs>
                <w:tab w:val="clear" w:pos="624"/>
              </w:tabs>
            </w:pPr>
            <w:r>
              <w:rPr>
                <w:rFonts w:hint="cs"/>
                <w:rtl/>
              </w:rPr>
              <w:t>8.</w:t>
            </w:r>
          </w:p>
        </w:tc>
        <w:tc>
          <w:tcPr>
            <w:tcW w:w="7147" w:type="dxa"/>
            <w:gridSpan w:val="7"/>
          </w:tcPr>
          <w:p w14:paraId="6C5929E4" w14:textId="129021ED" w:rsidR="00181857" w:rsidRPr="00C34DE2" w:rsidRDefault="00181857" w:rsidP="007E751D">
            <w:pPr>
              <w:pStyle w:val="TableBlock"/>
              <w:keepLines w:val="0"/>
            </w:pPr>
            <w:r>
              <w:rPr>
                <w:rFonts w:hint="cs"/>
                <w:rtl/>
              </w:rPr>
              <w:t>אחרי סעיף 10 לחוק העיקרי יבוא</w:t>
            </w:r>
            <w:r w:rsidR="003E51E5">
              <w:rPr>
                <w:rFonts w:hint="cs"/>
                <w:rtl/>
              </w:rPr>
              <w:t>:</w:t>
            </w:r>
            <w:r>
              <w:rPr>
                <w:rFonts w:hint="cs"/>
                <w:rtl/>
              </w:rPr>
              <w:t xml:space="preserve"> </w:t>
            </w:r>
          </w:p>
        </w:tc>
      </w:tr>
      <w:tr w:rsidR="00F10D0E" w14:paraId="7ABBD0E7" w14:textId="77777777" w:rsidTr="00F10D0E">
        <w:trPr>
          <w:cantSplit/>
          <w:trHeight w:val="60"/>
        </w:trPr>
        <w:tc>
          <w:tcPr>
            <w:tcW w:w="1870" w:type="dxa"/>
          </w:tcPr>
          <w:p w14:paraId="3E9F1C5F" w14:textId="77777777" w:rsidR="00F10D0E" w:rsidRDefault="00F10D0E">
            <w:pPr>
              <w:pStyle w:val="TableSideHeading"/>
            </w:pPr>
          </w:p>
        </w:tc>
        <w:tc>
          <w:tcPr>
            <w:tcW w:w="624" w:type="dxa"/>
          </w:tcPr>
          <w:p w14:paraId="791039BB" w14:textId="77777777" w:rsidR="00F10D0E" w:rsidRDefault="00F10D0E">
            <w:pPr>
              <w:pStyle w:val="TableText"/>
            </w:pPr>
          </w:p>
        </w:tc>
        <w:tc>
          <w:tcPr>
            <w:tcW w:w="1872" w:type="dxa"/>
            <w:gridSpan w:val="3"/>
          </w:tcPr>
          <w:p w14:paraId="543DAFFC" w14:textId="65A6E9C6" w:rsidR="00F10D0E" w:rsidRDefault="00F10D0E">
            <w:pPr>
              <w:pStyle w:val="TableText"/>
            </w:pPr>
            <w:r w:rsidRPr="0011218E">
              <w:rPr>
                <w:rFonts w:hint="cs"/>
                <w:rtl/>
              </w:rPr>
              <w:t>"ביצוע פעולה בדבר המגלם חומר מחשב"</w:t>
            </w:r>
          </w:p>
        </w:tc>
        <w:tc>
          <w:tcPr>
            <w:tcW w:w="624" w:type="dxa"/>
          </w:tcPr>
          <w:p w14:paraId="5D953A80" w14:textId="761B4681" w:rsidR="00F10D0E" w:rsidRDefault="00F10D0E">
            <w:pPr>
              <w:pStyle w:val="TableText"/>
            </w:pPr>
            <w:r>
              <w:rPr>
                <w:rFonts w:hint="cs"/>
                <w:rtl/>
              </w:rPr>
              <w:t>10א</w:t>
            </w:r>
          </w:p>
        </w:tc>
        <w:tc>
          <w:tcPr>
            <w:tcW w:w="624" w:type="dxa"/>
          </w:tcPr>
          <w:p w14:paraId="40F2262E" w14:textId="59BED65F" w:rsidR="00F10D0E" w:rsidRDefault="00F10D0E" w:rsidP="00F44C09">
            <w:pPr>
              <w:pStyle w:val="TableText"/>
              <w:numPr>
                <w:ilvl w:val="0"/>
                <w:numId w:val="20"/>
              </w:numPr>
              <w:tabs>
                <w:tab w:val="left" w:pos="624"/>
              </w:tabs>
              <w:jc w:val="both"/>
            </w:pPr>
          </w:p>
        </w:tc>
        <w:tc>
          <w:tcPr>
            <w:tcW w:w="4027" w:type="dxa"/>
            <w:gridSpan w:val="2"/>
          </w:tcPr>
          <w:p w14:paraId="24AF78D9" w14:textId="0B701BAF" w:rsidR="00F10D0E" w:rsidRDefault="00F10D0E" w:rsidP="00F10D0E">
            <w:pPr>
              <w:pStyle w:val="TableBlock"/>
            </w:pPr>
            <w:r w:rsidRPr="0011218E">
              <w:rPr>
                <w:rtl/>
              </w:rPr>
              <w:t>ראש הממשלה רשאי, לבקשת ראש השירות, להתיר לבעלי תפקידים מבין עובדי השירות, שנקבעו בהוראות השירות, לבצע פעולה בדבר המגלם חומר מחשב, אם שוכנע כי הפעולה חיונית לשם סיכול או מניעה של פעילות טרור או ריגול, וכי יש בה משום סיכון חיי אדם או פגיעה חמורה בביטחון המדינה, וכי לא ניתן, באופן סביר, להשיג את המטרה האמורה בדרך אחרת שפגיעתה בזכויות פחותה.</w:t>
            </w:r>
            <w:r>
              <w:rPr>
                <w:rFonts w:hint="cs"/>
                <w:rtl/>
              </w:rPr>
              <w:t xml:space="preserve"> </w:t>
            </w:r>
            <w:r w:rsidRPr="001654F3">
              <w:rPr>
                <w:rFonts w:hint="cs"/>
                <w:rtl/>
              </w:rPr>
              <w:t>בקשה להיתר ביחס לפעולה בחומר מחשב המשמש בעלי מקצוע כאמור בסעיף 10(ה) תוגש באישור היועץ המשפטי לממשלה או פרקליט המדינה.</w:t>
            </w:r>
          </w:p>
        </w:tc>
      </w:tr>
      <w:tr w:rsidR="00F10D0E" w14:paraId="4292CE6B" w14:textId="77777777" w:rsidTr="00F10D0E">
        <w:trPr>
          <w:cantSplit/>
          <w:trHeight w:val="60"/>
        </w:trPr>
        <w:tc>
          <w:tcPr>
            <w:tcW w:w="1870" w:type="dxa"/>
          </w:tcPr>
          <w:p w14:paraId="387E4CB6" w14:textId="77777777" w:rsidR="00F10D0E" w:rsidRDefault="00F10D0E">
            <w:pPr>
              <w:pStyle w:val="TableSideHeading"/>
            </w:pPr>
          </w:p>
        </w:tc>
        <w:tc>
          <w:tcPr>
            <w:tcW w:w="624" w:type="dxa"/>
          </w:tcPr>
          <w:p w14:paraId="6051BD14" w14:textId="77777777" w:rsidR="00F10D0E" w:rsidRDefault="00F10D0E" w:rsidP="00F10D0E">
            <w:pPr>
              <w:pStyle w:val="TableText"/>
            </w:pPr>
          </w:p>
        </w:tc>
        <w:tc>
          <w:tcPr>
            <w:tcW w:w="1872" w:type="dxa"/>
            <w:gridSpan w:val="3"/>
          </w:tcPr>
          <w:p w14:paraId="3ACF95BD" w14:textId="77777777" w:rsidR="00F10D0E" w:rsidRPr="0011218E" w:rsidRDefault="00F10D0E">
            <w:pPr>
              <w:pStyle w:val="TableText"/>
              <w:rPr>
                <w:rtl/>
              </w:rPr>
            </w:pPr>
          </w:p>
        </w:tc>
        <w:tc>
          <w:tcPr>
            <w:tcW w:w="624" w:type="dxa"/>
          </w:tcPr>
          <w:p w14:paraId="48B03599" w14:textId="77777777" w:rsidR="00F10D0E" w:rsidRDefault="00F10D0E">
            <w:pPr>
              <w:pStyle w:val="TableText"/>
              <w:rPr>
                <w:rtl/>
              </w:rPr>
            </w:pPr>
          </w:p>
        </w:tc>
        <w:tc>
          <w:tcPr>
            <w:tcW w:w="624" w:type="dxa"/>
          </w:tcPr>
          <w:p w14:paraId="2B05026E" w14:textId="4A8B0A7D" w:rsidR="00F10D0E" w:rsidRDefault="00F10D0E" w:rsidP="00F44C09">
            <w:pPr>
              <w:pStyle w:val="TableText"/>
              <w:numPr>
                <w:ilvl w:val="0"/>
                <w:numId w:val="20"/>
              </w:numPr>
              <w:tabs>
                <w:tab w:val="left" w:pos="624"/>
              </w:tabs>
              <w:jc w:val="both"/>
              <w:rPr>
                <w:rtl/>
              </w:rPr>
            </w:pPr>
          </w:p>
        </w:tc>
        <w:tc>
          <w:tcPr>
            <w:tcW w:w="4027" w:type="dxa"/>
            <w:gridSpan w:val="2"/>
          </w:tcPr>
          <w:p w14:paraId="7A3AF340" w14:textId="27286489" w:rsidR="00F10D0E" w:rsidRDefault="00F10D0E" w:rsidP="00F10D0E">
            <w:pPr>
              <w:pStyle w:val="TableBlock"/>
              <w:rPr>
                <w:rtl/>
              </w:rPr>
            </w:pPr>
            <w:r w:rsidRPr="0011218E">
              <w:rPr>
                <w:rtl/>
              </w:rPr>
              <w:t>על אף הוראות סעיף קטן (א), רשאי ראש השירות להתיר בכתב ביצוע פעולה בחומר מחשב, אם שוכנע כי ביצוע הפעולה כאמור הוא חיוני ואינו סובל דיחוי, וכי אין סיפק לקבל היתר לפי סעיף קטן (א) מבעוד מועד; היתר לפי סעיף קטן זה יהיה לתקופה שלא תעלה על 48 שעות מהמועד שניתן</w:t>
            </w:r>
            <w:r w:rsidRPr="00E51F8A">
              <w:rPr>
                <w:rFonts w:hint="cs"/>
                <w:rtl/>
              </w:rPr>
              <w:t>, וניתן יהיה להאריכו בהתאם לאמור בסעיף קטן (א), ככל שהדבר נדרש</w:t>
            </w:r>
            <w:r w:rsidRPr="00E51F8A">
              <w:rPr>
                <w:rtl/>
              </w:rPr>
              <w:t>.</w:t>
            </w:r>
          </w:p>
        </w:tc>
      </w:tr>
      <w:tr w:rsidR="00F10D0E" w14:paraId="2048B35A" w14:textId="77777777" w:rsidTr="00F10D0E">
        <w:trPr>
          <w:cantSplit/>
          <w:trHeight w:val="60"/>
        </w:trPr>
        <w:tc>
          <w:tcPr>
            <w:tcW w:w="1870" w:type="dxa"/>
          </w:tcPr>
          <w:p w14:paraId="5BBC30F1" w14:textId="77777777" w:rsidR="00F10D0E" w:rsidRDefault="00F10D0E">
            <w:pPr>
              <w:pStyle w:val="TableSideHeading"/>
            </w:pPr>
          </w:p>
        </w:tc>
        <w:tc>
          <w:tcPr>
            <w:tcW w:w="624" w:type="dxa"/>
          </w:tcPr>
          <w:p w14:paraId="5DAE6644" w14:textId="77777777" w:rsidR="00F10D0E" w:rsidRDefault="00F10D0E">
            <w:pPr>
              <w:pStyle w:val="TableText"/>
            </w:pPr>
          </w:p>
        </w:tc>
        <w:tc>
          <w:tcPr>
            <w:tcW w:w="624" w:type="dxa"/>
          </w:tcPr>
          <w:p w14:paraId="06961AF2" w14:textId="77777777" w:rsidR="00F10D0E" w:rsidRDefault="00F10D0E">
            <w:pPr>
              <w:pStyle w:val="TableText"/>
            </w:pPr>
          </w:p>
        </w:tc>
        <w:tc>
          <w:tcPr>
            <w:tcW w:w="624" w:type="dxa"/>
          </w:tcPr>
          <w:p w14:paraId="47945A08" w14:textId="77777777" w:rsidR="00F10D0E" w:rsidRDefault="00F10D0E">
            <w:pPr>
              <w:pStyle w:val="TableText"/>
            </w:pPr>
          </w:p>
        </w:tc>
        <w:tc>
          <w:tcPr>
            <w:tcW w:w="624" w:type="dxa"/>
          </w:tcPr>
          <w:p w14:paraId="214EAD84" w14:textId="77777777" w:rsidR="00F10D0E" w:rsidRDefault="00F10D0E">
            <w:pPr>
              <w:pStyle w:val="TableText"/>
            </w:pPr>
          </w:p>
        </w:tc>
        <w:tc>
          <w:tcPr>
            <w:tcW w:w="624" w:type="dxa"/>
          </w:tcPr>
          <w:p w14:paraId="626354CD" w14:textId="77777777" w:rsidR="00F10D0E" w:rsidRDefault="00F10D0E">
            <w:pPr>
              <w:pStyle w:val="TableText"/>
            </w:pPr>
          </w:p>
        </w:tc>
        <w:tc>
          <w:tcPr>
            <w:tcW w:w="624" w:type="dxa"/>
          </w:tcPr>
          <w:p w14:paraId="17B930FD" w14:textId="5AED817A" w:rsidR="00F10D0E" w:rsidRDefault="00F10D0E" w:rsidP="00F44C09">
            <w:pPr>
              <w:pStyle w:val="TableText"/>
              <w:numPr>
                <w:ilvl w:val="0"/>
                <w:numId w:val="20"/>
              </w:numPr>
              <w:tabs>
                <w:tab w:val="left" w:pos="624"/>
              </w:tabs>
              <w:jc w:val="both"/>
            </w:pPr>
          </w:p>
        </w:tc>
        <w:tc>
          <w:tcPr>
            <w:tcW w:w="626" w:type="dxa"/>
          </w:tcPr>
          <w:p w14:paraId="36991EB2" w14:textId="77777777" w:rsidR="00F10D0E" w:rsidRDefault="00F10D0E" w:rsidP="00F44C09">
            <w:pPr>
              <w:pStyle w:val="TableText"/>
              <w:numPr>
                <w:ilvl w:val="0"/>
                <w:numId w:val="19"/>
              </w:numPr>
              <w:tabs>
                <w:tab w:val="left" w:pos="624"/>
              </w:tabs>
              <w:jc w:val="both"/>
            </w:pPr>
          </w:p>
        </w:tc>
        <w:tc>
          <w:tcPr>
            <w:tcW w:w="3401" w:type="dxa"/>
          </w:tcPr>
          <w:p w14:paraId="2B3B62C4" w14:textId="74B529C0" w:rsidR="00F10D0E" w:rsidRDefault="00F10D0E">
            <w:pPr>
              <w:pStyle w:val="TableBlock"/>
            </w:pPr>
            <w:r w:rsidRPr="0011218E">
              <w:rPr>
                <w:rtl/>
              </w:rPr>
              <w:t>נתן ראש השירות היתר לפי סעיף קטן (ב),</w:t>
            </w:r>
            <w:r>
              <w:rPr>
                <w:rFonts w:hint="cs"/>
                <w:rtl/>
              </w:rPr>
              <w:t xml:space="preserve"> למעט היתר ביחס לחומר מחשב המשמש בעלי מקצוע כאמור בסעיף 10(ה),</w:t>
            </w:r>
            <w:r w:rsidRPr="0011218E">
              <w:rPr>
                <w:rtl/>
              </w:rPr>
              <w:t xml:space="preserve"> ידווח על כך מיד לראש הממשלה, וראש הממשלה יהיה רשאי לבטל את ההיתר</w:t>
            </w:r>
            <w:r w:rsidR="00725080">
              <w:rPr>
                <w:rFonts w:hint="cs"/>
                <w:rtl/>
              </w:rPr>
              <w:t>.</w:t>
            </w:r>
            <w:r w:rsidRPr="00266D74">
              <w:rPr>
                <w:strike/>
                <w:rtl/>
              </w:rPr>
              <w:t xml:space="preserve"> </w:t>
            </w:r>
          </w:p>
        </w:tc>
      </w:tr>
      <w:tr w:rsidR="00F10D0E" w14:paraId="312D2509" w14:textId="77777777" w:rsidTr="00F10D0E">
        <w:trPr>
          <w:cantSplit/>
          <w:trHeight w:val="60"/>
        </w:trPr>
        <w:tc>
          <w:tcPr>
            <w:tcW w:w="1870" w:type="dxa"/>
          </w:tcPr>
          <w:p w14:paraId="3D4D9616" w14:textId="77777777" w:rsidR="00F10D0E" w:rsidRDefault="00F10D0E">
            <w:pPr>
              <w:pStyle w:val="TableSideHeading"/>
            </w:pPr>
          </w:p>
        </w:tc>
        <w:tc>
          <w:tcPr>
            <w:tcW w:w="624" w:type="dxa"/>
          </w:tcPr>
          <w:p w14:paraId="6483AFD1" w14:textId="77777777" w:rsidR="00F10D0E" w:rsidRDefault="00F10D0E" w:rsidP="00F10D0E">
            <w:pPr>
              <w:pStyle w:val="TableText"/>
            </w:pPr>
          </w:p>
        </w:tc>
        <w:tc>
          <w:tcPr>
            <w:tcW w:w="624" w:type="dxa"/>
          </w:tcPr>
          <w:p w14:paraId="2AFCDF5C" w14:textId="77777777" w:rsidR="00F10D0E" w:rsidRDefault="00F10D0E">
            <w:pPr>
              <w:pStyle w:val="TableText"/>
            </w:pPr>
          </w:p>
        </w:tc>
        <w:tc>
          <w:tcPr>
            <w:tcW w:w="624" w:type="dxa"/>
          </w:tcPr>
          <w:p w14:paraId="42119E9E" w14:textId="77777777" w:rsidR="00F10D0E" w:rsidRDefault="00F10D0E">
            <w:pPr>
              <w:pStyle w:val="TableText"/>
            </w:pPr>
          </w:p>
        </w:tc>
        <w:tc>
          <w:tcPr>
            <w:tcW w:w="624" w:type="dxa"/>
          </w:tcPr>
          <w:p w14:paraId="38FEF734" w14:textId="77777777" w:rsidR="00F10D0E" w:rsidRDefault="00F10D0E">
            <w:pPr>
              <w:pStyle w:val="TableText"/>
            </w:pPr>
          </w:p>
        </w:tc>
        <w:tc>
          <w:tcPr>
            <w:tcW w:w="624" w:type="dxa"/>
          </w:tcPr>
          <w:p w14:paraId="285E5DA2" w14:textId="77777777" w:rsidR="00F10D0E" w:rsidRDefault="00F10D0E">
            <w:pPr>
              <w:pStyle w:val="TableText"/>
            </w:pPr>
          </w:p>
        </w:tc>
        <w:tc>
          <w:tcPr>
            <w:tcW w:w="624" w:type="dxa"/>
          </w:tcPr>
          <w:p w14:paraId="473ADE3A" w14:textId="77777777" w:rsidR="00F10D0E" w:rsidRDefault="00F10D0E" w:rsidP="00F10D0E">
            <w:pPr>
              <w:pStyle w:val="TableText"/>
              <w:jc w:val="both"/>
            </w:pPr>
          </w:p>
        </w:tc>
        <w:tc>
          <w:tcPr>
            <w:tcW w:w="626" w:type="dxa"/>
          </w:tcPr>
          <w:p w14:paraId="386C30C3" w14:textId="77777777" w:rsidR="00F10D0E" w:rsidRDefault="00F10D0E" w:rsidP="00F44C09">
            <w:pPr>
              <w:pStyle w:val="TableText"/>
              <w:numPr>
                <w:ilvl w:val="0"/>
                <w:numId w:val="19"/>
              </w:numPr>
              <w:tabs>
                <w:tab w:val="left" w:pos="624"/>
              </w:tabs>
              <w:jc w:val="both"/>
            </w:pPr>
          </w:p>
        </w:tc>
        <w:tc>
          <w:tcPr>
            <w:tcW w:w="3401" w:type="dxa"/>
          </w:tcPr>
          <w:p w14:paraId="29976C94" w14:textId="6401D2E6" w:rsidR="00F10D0E" w:rsidRPr="0011218E" w:rsidRDefault="00F10D0E">
            <w:pPr>
              <w:pStyle w:val="TableBlock"/>
              <w:rPr>
                <w:rtl/>
              </w:rPr>
            </w:pPr>
            <w:r w:rsidRPr="0011218E">
              <w:rPr>
                <w:rtl/>
              </w:rPr>
              <w:t xml:space="preserve">נתן ראש השירות היתר </w:t>
            </w:r>
            <w:r>
              <w:rPr>
                <w:rFonts w:hint="cs"/>
                <w:rtl/>
              </w:rPr>
              <w:t xml:space="preserve">לפי סעיף קטן (ב) </w:t>
            </w:r>
            <w:r w:rsidRPr="0011218E">
              <w:rPr>
                <w:rtl/>
              </w:rPr>
              <w:t>ביחס לחומר מחשב המשמש בעל מקצוע כאמור בסעיף 10(ה), ידווח על כך מיד ליועץ המשפטי לממשלה, והיועץ המשפטי לממשלה יהיה רשאי לבטל את ההיתר</w:t>
            </w:r>
            <w:r>
              <w:rPr>
                <w:rFonts w:hint="cs"/>
                <w:rtl/>
              </w:rPr>
              <w:t>.</w:t>
            </w:r>
          </w:p>
        </w:tc>
      </w:tr>
      <w:tr w:rsidR="00F10D0E" w14:paraId="18A1B534" w14:textId="77777777" w:rsidTr="00E24AF2">
        <w:trPr>
          <w:cantSplit/>
          <w:trHeight w:val="60"/>
        </w:trPr>
        <w:tc>
          <w:tcPr>
            <w:tcW w:w="1870" w:type="dxa"/>
          </w:tcPr>
          <w:p w14:paraId="3AA1535D" w14:textId="77777777" w:rsidR="00F10D0E" w:rsidRDefault="00F10D0E">
            <w:pPr>
              <w:pStyle w:val="TableSideHeading"/>
            </w:pPr>
          </w:p>
        </w:tc>
        <w:tc>
          <w:tcPr>
            <w:tcW w:w="624" w:type="dxa"/>
          </w:tcPr>
          <w:p w14:paraId="5A07F57E" w14:textId="77777777" w:rsidR="00F10D0E" w:rsidRDefault="00F10D0E">
            <w:pPr>
              <w:pStyle w:val="TableText"/>
            </w:pPr>
          </w:p>
        </w:tc>
        <w:tc>
          <w:tcPr>
            <w:tcW w:w="624" w:type="dxa"/>
          </w:tcPr>
          <w:p w14:paraId="7E61D363" w14:textId="77777777" w:rsidR="00F10D0E" w:rsidRDefault="00F10D0E">
            <w:pPr>
              <w:pStyle w:val="TableText"/>
            </w:pPr>
          </w:p>
        </w:tc>
        <w:tc>
          <w:tcPr>
            <w:tcW w:w="624" w:type="dxa"/>
          </w:tcPr>
          <w:p w14:paraId="09F77D65" w14:textId="77777777" w:rsidR="00F10D0E" w:rsidRDefault="00F10D0E">
            <w:pPr>
              <w:pStyle w:val="TableText"/>
            </w:pPr>
          </w:p>
        </w:tc>
        <w:tc>
          <w:tcPr>
            <w:tcW w:w="624" w:type="dxa"/>
          </w:tcPr>
          <w:p w14:paraId="76924C0D" w14:textId="77777777" w:rsidR="00F10D0E" w:rsidRDefault="00F10D0E">
            <w:pPr>
              <w:pStyle w:val="TableText"/>
            </w:pPr>
          </w:p>
        </w:tc>
        <w:tc>
          <w:tcPr>
            <w:tcW w:w="624" w:type="dxa"/>
          </w:tcPr>
          <w:p w14:paraId="657C900C" w14:textId="77777777" w:rsidR="00F10D0E" w:rsidRDefault="00F10D0E">
            <w:pPr>
              <w:pStyle w:val="TableText"/>
            </w:pPr>
          </w:p>
        </w:tc>
        <w:tc>
          <w:tcPr>
            <w:tcW w:w="624" w:type="dxa"/>
          </w:tcPr>
          <w:p w14:paraId="76AF09FA" w14:textId="6B3ACF16" w:rsidR="00F10D0E" w:rsidRDefault="00F10D0E" w:rsidP="00F44C09">
            <w:pPr>
              <w:pStyle w:val="TableText"/>
              <w:numPr>
                <w:ilvl w:val="0"/>
                <w:numId w:val="20"/>
              </w:numPr>
              <w:tabs>
                <w:tab w:val="left" w:pos="624"/>
              </w:tabs>
              <w:jc w:val="both"/>
            </w:pPr>
          </w:p>
        </w:tc>
        <w:tc>
          <w:tcPr>
            <w:tcW w:w="4027" w:type="dxa"/>
            <w:gridSpan w:val="2"/>
          </w:tcPr>
          <w:p w14:paraId="341EB20F" w14:textId="171013C5" w:rsidR="00F10D0E" w:rsidRDefault="00F10D0E">
            <w:pPr>
              <w:pStyle w:val="TableBlock"/>
            </w:pPr>
            <w:r w:rsidRPr="0011218E">
              <w:rPr>
                <w:rtl/>
              </w:rPr>
              <w:t>בבקשה להיתר לפי סעיף זה,</w:t>
            </w:r>
            <w:r>
              <w:rPr>
                <w:rFonts w:hint="cs"/>
                <w:rtl/>
              </w:rPr>
              <w:t xml:space="preserve"> </w:t>
            </w:r>
            <w:r w:rsidRPr="0011218E">
              <w:rPr>
                <w:rtl/>
              </w:rPr>
              <w:t>יפורטו העובדות והנימוקים למתן ההיתר, סוג הפעולה בחומר מחשב שמבוקש להתיר, תיאור חומר המחשב שביחס אליו מבוקש ההיתר, זהות המחזיק במחשב או בחומר המחשב, לרבות מי שהמחשב או חומר המחשב מצוי בשליטתו, ככל שהם ידועים, תקופת תוקפו של ההיתר המבוקש וכן הוראות ותנאים מוצעים לעניין דרך ביצוע הפעולה המבוקשת.</w:t>
            </w:r>
          </w:p>
        </w:tc>
      </w:tr>
      <w:tr w:rsidR="00F10D0E" w14:paraId="7CD07CCF" w14:textId="77777777" w:rsidTr="00E24AF2">
        <w:trPr>
          <w:cantSplit/>
          <w:trHeight w:val="60"/>
        </w:trPr>
        <w:tc>
          <w:tcPr>
            <w:tcW w:w="1870" w:type="dxa"/>
          </w:tcPr>
          <w:p w14:paraId="621AE01D" w14:textId="77777777" w:rsidR="00F10D0E" w:rsidRDefault="00F10D0E">
            <w:pPr>
              <w:pStyle w:val="TableSideHeading"/>
            </w:pPr>
          </w:p>
        </w:tc>
        <w:tc>
          <w:tcPr>
            <w:tcW w:w="624" w:type="dxa"/>
          </w:tcPr>
          <w:p w14:paraId="3C14A7A8" w14:textId="77777777" w:rsidR="00F10D0E" w:rsidRDefault="00F10D0E" w:rsidP="00F10D0E">
            <w:pPr>
              <w:pStyle w:val="TableText"/>
            </w:pPr>
          </w:p>
        </w:tc>
        <w:tc>
          <w:tcPr>
            <w:tcW w:w="624" w:type="dxa"/>
          </w:tcPr>
          <w:p w14:paraId="7F7099D1" w14:textId="77777777" w:rsidR="00F10D0E" w:rsidRDefault="00F10D0E">
            <w:pPr>
              <w:pStyle w:val="TableText"/>
            </w:pPr>
          </w:p>
        </w:tc>
        <w:tc>
          <w:tcPr>
            <w:tcW w:w="624" w:type="dxa"/>
          </w:tcPr>
          <w:p w14:paraId="1DC9D333" w14:textId="77777777" w:rsidR="00F10D0E" w:rsidRDefault="00F10D0E">
            <w:pPr>
              <w:pStyle w:val="TableText"/>
            </w:pPr>
          </w:p>
        </w:tc>
        <w:tc>
          <w:tcPr>
            <w:tcW w:w="624" w:type="dxa"/>
          </w:tcPr>
          <w:p w14:paraId="62B81122" w14:textId="77777777" w:rsidR="00F10D0E" w:rsidRDefault="00F10D0E">
            <w:pPr>
              <w:pStyle w:val="TableText"/>
            </w:pPr>
          </w:p>
        </w:tc>
        <w:tc>
          <w:tcPr>
            <w:tcW w:w="624" w:type="dxa"/>
          </w:tcPr>
          <w:p w14:paraId="4A763BBD" w14:textId="77777777" w:rsidR="00F10D0E" w:rsidRDefault="00F10D0E">
            <w:pPr>
              <w:pStyle w:val="TableText"/>
            </w:pPr>
          </w:p>
        </w:tc>
        <w:tc>
          <w:tcPr>
            <w:tcW w:w="624" w:type="dxa"/>
          </w:tcPr>
          <w:p w14:paraId="34DE9B33" w14:textId="77777777" w:rsidR="00F10D0E" w:rsidRDefault="00F10D0E" w:rsidP="00F44C09">
            <w:pPr>
              <w:pStyle w:val="TableText"/>
              <w:numPr>
                <w:ilvl w:val="0"/>
                <w:numId w:val="20"/>
              </w:numPr>
              <w:tabs>
                <w:tab w:val="left" w:pos="624"/>
              </w:tabs>
              <w:jc w:val="both"/>
            </w:pPr>
          </w:p>
        </w:tc>
        <w:tc>
          <w:tcPr>
            <w:tcW w:w="4027" w:type="dxa"/>
            <w:gridSpan w:val="2"/>
          </w:tcPr>
          <w:p w14:paraId="5AF4CFB0" w14:textId="590ADEE1" w:rsidR="00F10D0E" w:rsidRPr="0011218E" w:rsidRDefault="00F10D0E">
            <w:pPr>
              <w:pStyle w:val="TableBlock"/>
              <w:rPr>
                <w:rtl/>
              </w:rPr>
            </w:pPr>
            <w:r w:rsidRPr="0011218E">
              <w:rPr>
                <w:rtl/>
              </w:rPr>
              <w:t>ביצוע פעולה בחומר מחשב לפי סעיף זה יתועד בכתב באופן שייקבע בכללים.</w:t>
            </w:r>
          </w:p>
        </w:tc>
      </w:tr>
      <w:tr w:rsidR="00F10D0E" w14:paraId="4934B75D" w14:textId="77777777" w:rsidTr="00E24AF2">
        <w:trPr>
          <w:cantSplit/>
          <w:trHeight w:val="60"/>
        </w:trPr>
        <w:tc>
          <w:tcPr>
            <w:tcW w:w="1870" w:type="dxa"/>
          </w:tcPr>
          <w:p w14:paraId="6A814554" w14:textId="77777777" w:rsidR="00F10D0E" w:rsidRDefault="00F10D0E">
            <w:pPr>
              <w:pStyle w:val="TableSideHeading"/>
            </w:pPr>
          </w:p>
        </w:tc>
        <w:tc>
          <w:tcPr>
            <w:tcW w:w="624" w:type="dxa"/>
          </w:tcPr>
          <w:p w14:paraId="7C4D8878" w14:textId="77777777" w:rsidR="00F10D0E" w:rsidRDefault="00F10D0E" w:rsidP="00F10D0E">
            <w:pPr>
              <w:pStyle w:val="TableText"/>
            </w:pPr>
          </w:p>
        </w:tc>
        <w:tc>
          <w:tcPr>
            <w:tcW w:w="624" w:type="dxa"/>
          </w:tcPr>
          <w:p w14:paraId="45796572" w14:textId="77777777" w:rsidR="00F10D0E" w:rsidRDefault="00F10D0E">
            <w:pPr>
              <w:pStyle w:val="TableText"/>
            </w:pPr>
          </w:p>
        </w:tc>
        <w:tc>
          <w:tcPr>
            <w:tcW w:w="624" w:type="dxa"/>
          </w:tcPr>
          <w:p w14:paraId="5D359802" w14:textId="77777777" w:rsidR="00F10D0E" w:rsidRDefault="00F10D0E">
            <w:pPr>
              <w:pStyle w:val="TableText"/>
            </w:pPr>
          </w:p>
        </w:tc>
        <w:tc>
          <w:tcPr>
            <w:tcW w:w="624" w:type="dxa"/>
          </w:tcPr>
          <w:p w14:paraId="6C157D82" w14:textId="77777777" w:rsidR="00F10D0E" w:rsidRDefault="00F10D0E">
            <w:pPr>
              <w:pStyle w:val="TableText"/>
            </w:pPr>
          </w:p>
        </w:tc>
        <w:tc>
          <w:tcPr>
            <w:tcW w:w="624" w:type="dxa"/>
          </w:tcPr>
          <w:p w14:paraId="0F7CDCF0" w14:textId="77777777" w:rsidR="00F10D0E" w:rsidRDefault="00F10D0E">
            <w:pPr>
              <w:pStyle w:val="TableText"/>
            </w:pPr>
          </w:p>
        </w:tc>
        <w:tc>
          <w:tcPr>
            <w:tcW w:w="624" w:type="dxa"/>
          </w:tcPr>
          <w:p w14:paraId="4434AEA4" w14:textId="77777777" w:rsidR="00F10D0E" w:rsidRDefault="00F10D0E" w:rsidP="00F44C09">
            <w:pPr>
              <w:pStyle w:val="TableText"/>
              <w:numPr>
                <w:ilvl w:val="0"/>
                <w:numId w:val="20"/>
              </w:numPr>
              <w:tabs>
                <w:tab w:val="left" w:pos="624"/>
              </w:tabs>
              <w:jc w:val="both"/>
            </w:pPr>
          </w:p>
        </w:tc>
        <w:tc>
          <w:tcPr>
            <w:tcW w:w="4027" w:type="dxa"/>
            <w:gridSpan w:val="2"/>
          </w:tcPr>
          <w:p w14:paraId="341CA00C" w14:textId="1D7634A5" w:rsidR="00F10D0E" w:rsidRPr="0011218E" w:rsidRDefault="00F10D0E" w:rsidP="00F10D0E">
            <w:pPr>
              <w:pStyle w:val="TableBlock"/>
              <w:rPr>
                <w:rtl/>
              </w:rPr>
            </w:pPr>
            <w:r w:rsidRPr="0011218E">
              <w:rPr>
                <w:rtl/>
              </w:rPr>
              <w:t>ראש השירות ימסור דיווח ליועץ המשפטי לממשלה, אחת ל–30 ימים, ולוועדת הכנסת לענייני השירות – אחת לשנה, על היתרים שניתנו לפי סעיף זה. הדיווח יכלול את התכליות לשמ</w:t>
            </w:r>
            <w:r>
              <w:rPr>
                <w:rFonts w:hint="cs"/>
                <w:rtl/>
              </w:rPr>
              <w:t>ן</w:t>
            </w:r>
            <w:r w:rsidRPr="0011218E">
              <w:rPr>
                <w:rtl/>
              </w:rPr>
              <w:t xml:space="preserve"> התבקשו ההיתרים, מספר ההיתרים שניתנו והערכה בדבר מידת התועלת שהופקה מהמידע שהתקבל כתוצאה ממתן ההיתרים.</w:t>
            </w:r>
          </w:p>
        </w:tc>
      </w:tr>
      <w:tr w:rsidR="00F10D0E" w14:paraId="2DA61766" w14:textId="77777777" w:rsidTr="00E24AF2">
        <w:trPr>
          <w:cantSplit/>
          <w:trHeight w:val="60"/>
        </w:trPr>
        <w:tc>
          <w:tcPr>
            <w:tcW w:w="1870" w:type="dxa"/>
          </w:tcPr>
          <w:p w14:paraId="74F2B25A" w14:textId="77777777" w:rsidR="00F10D0E" w:rsidRDefault="00F10D0E">
            <w:pPr>
              <w:pStyle w:val="TableSideHeading"/>
            </w:pPr>
          </w:p>
        </w:tc>
        <w:tc>
          <w:tcPr>
            <w:tcW w:w="624" w:type="dxa"/>
          </w:tcPr>
          <w:p w14:paraId="1DB12434" w14:textId="77777777" w:rsidR="00F10D0E" w:rsidRDefault="00F10D0E" w:rsidP="00F10D0E">
            <w:pPr>
              <w:pStyle w:val="TableText"/>
            </w:pPr>
          </w:p>
        </w:tc>
        <w:tc>
          <w:tcPr>
            <w:tcW w:w="624" w:type="dxa"/>
          </w:tcPr>
          <w:p w14:paraId="2FC69BF5" w14:textId="77777777" w:rsidR="00F10D0E" w:rsidRDefault="00F10D0E">
            <w:pPr>
              <w:pStyle w:val="TableText"/>
            </w:pPr>
          </w:p>
        </w:tc>
        <w:tc>
          <w:tcPr>
            <w:tcW w:w="624" w:type="dxa"/>
          </w:tcPr>
          <w:p w14:paraId="7159E144" w14:textId="77777777" w:rsidR="00F10D0E" w:rsidRDefault="00F10D0E">
            <w:pPr>
              <w:pStyle w:val="TableText"/>
            </w:pPr>
          </w:p>
        </w:tc>
        <w:tc>
          <w:tcPr>
            <w:tcW w:w="624" w:type="dxa"/>
          </w:tcPr>
          <w:p w14:paraId="2023D0B0" w14:textId="77777777" w:rsidR="00F10D0E" w:rsidRDefault="00F10D0E">
            <w:pPr>
              <w:pStyle w:val="TableText"/>
            </w:pPr>
          </w:p>
        </w:tc>
        <w:tc>
          <w:tcPr>
            <w:tcW w:w="624" w:type="dxa"/>
          </w:tcPr>
          <w:p w14:paraId="1909A178" w14:textId="77777777" w:rsidR="00F10D0E" w:rsidRDefault="00F10D0E">
            <w:pPr>
              <w:pStyle w:val="TableText"/>
            </w:pPr>
          </w:p>
        </w:tc>
        <w:tc>
          <w:tcPr>
            <w:tcW w:w="624" w:type="dxa"/>
          </w:tcPr>
          <w:p w14:paraId="21842E8B" w14:textId="77777777" w:rsidR="00F10D0E" w:rsidRDefault="00F10D0E" w:rsidP="00F44C09">
            <w:pPr>
              <w:pStyle w:val="TableText"/>
              <w:numPr>
                <w:ilvl w:val="0"/>
                <w:numId w:val="20"/>
              </w:numPr>
              <w:tabs>
                <w:tab w:val="left" w:pos="624"/>
              </w:tabs>
              <w:jc w:val="both"/>
            </w:pPr>
          </w:p>
        </w:tc>
        <w:tc>
          <w:tcPr>
            <w:tcW w:w="4027" w:type="dxa"/>
            <w:gridSpan w:val="2"/>
          </w:tcPr>
          <w:p w14:paraId="66FA5BF1" w14:textId="40F34A92" w:rsidR="00F10D0E" w:rsidRPr="0011218E" w:rsidRDefault="00F10D0E" w:rsidP="00F10D0E">
            <w:pPr>
              <w:pStyle w:val="TableBlock"/>
              <w:rPr>
                <w:rtl/>
              </w:rPr>
            </w:pPr>
            <w:r w:rsidRPr="000E186E">
              <w:rPr>
                <w:rtl/>
              </w:rPr>
              <w:t xml:space="preserve">בסעיף זה, "פעולה בחומר מחשב" – </w:t>
            </w:r>
            <w:r w:rsidRPr="000E186E">
              <w:rPr>
                <w:rFonts w:hint="cs"/>
                <w:rtl/>
              </w:rPr>
              <w:t>חדירה לחומר מחשב ו</w:t>
            </w:r>
            <w:r w:rsidRPr="000E186E">
              <w:rPr>
                <w:rtl/>
              </w:rPr>
              <w:t xml:space="preserve">שיבוש פעולה של מחשב או הפרעה לשימוש </w:t>
            </w:r>
            <w:r w:rsidRPr="000E186E">
              <w:rPr>
                <w:rFonts w:hint="cs"/>
                <w:rtl/>
              </w:rPr>
              <w:t>בו</w:t>
            </w:r>
            <w:r w:rsidRPr="000E186E">
              <w:rPr>
                <w:rtl/>
              </w:rPr>
              <w:t>, וכן מחיקה, שינוי או שיבוש של חומר מחשב או הפרעה לשימוש בו</w:t>
            </w:r>
            <w:r w:rsidRPr="000E186E">
              <w:rPr>
                <w:rFonts w:hint="cs"/>
                <w:rtl/>
              </w:rPr>
              <w:t xml:space="preserve">. </w:t>
            </w:r>
            <w:r w:rsidRPr="000E186E">
              <w:rPr>
                <w:rFonts w:hint="eastAsia"/>
                <w:rtl/>
              </w:rPr>
              <w:t>בסעיף</w:t>
            </w:r>
            <w:r w:rsidRPr="000E186E">
              <w:rPr>
                <w:rtl/>
              </w:rPr>
              <w:t xml:space="preserve"> </w:t>
            </w:r>
            <w:r w:rsidRPr="000E186E">
              <w:rPr>
                <w:rFonts w:hint="eastAsia"/>
                <w:rtl/>
              </w:rPr>
              <w:t>זה</w:t>
            </w:r>
            <w:r w:rsidRPr="000E186E">
              <w:rPr>
                <w:rtl/>
              </w:rPr>
              <w:t xml:space="preserve"> "חדירה </w:t>
            </w:r>
            <w:r w:rsidRPr="000E186E">
              <w:rPr>
                <w:rFonts w:hint="eastAsia"/>
                <w:rtl/>
              </w:rPr>
              <w:t>לחומר</w:t>
            </w:r>
            <w:r w:rsidRPr="000E186E">
              <w:rPr>
                <w:rtl/>
              </w:rPr>
              <w:t xml:space="preserve"> </w:t>
            </w:r>
            <w:r w:rsidRPr="000E186E">
              <w:rPr>
                <w:rFonts w:hint="eastAsia"/>
                <w:rtl/>
              </w:rPr>
              <w:t>מחשב</w:t>
            </w:r>
            <w:r w:rsidRPr="000E186E">
              <w:rPr>
                <w:rtl/>
              </w:rPr>
              <w:t xml:space="preserve">" – </w:t>
            </w:r>
            <w:r w:rsidRPr="000E186E">
              <w:rPr>
                <w:rFonts w:hint="eastAsia"/>
                <w:rtl/>
              </w:rPr>
              <w:t>למעט</w:t>
            </w:r>
            <w:r w:rsidRPr="000E186E">
              <w:rPr>
                <w:rtl/>
              </w:rPr>
              <w:t xml:space="preserve"> </w:t>
            </w:r>
            <w:r w:rsidRPr="000E186E">
              <w:rPr>
                <w:rFonts w:hint="cs"/>
                <w:rtl/>
              </w:rPr>
              <w:t xml:space="preserve">העתקה, </w:t>
            </w:r>
            <w:r w:rsidRPr="000E186E">
              <w:rPr>
                <w:rFonts w:hint="eastAsia"/>
                <w:rtl/>
              </w:rPr>
              <w:t>עיון</w:t>
            </w:r>
            <w:r w:rsidRPr="000E186E">
              <w:rPr>
                <w:rtl/>
              </w:rPr>
              <w:t xml:space="preserve"> </w:t>
            </w:r>
            <w:r w:rsidRPr="000E186E">
              <w:rPr>
                <w:rFonts w:hint="cs"/>
                <w:rtl/>
              </w:rPr>
              <w:t>ו</w:t>
            </w:r>
            <w:r w:rsidRPr="000E186E">
              <w:rPr>
                <w:rFonts w:hint="eastAsia"/>
                <w:rtl/>
              </w:rPr>
              <w:t>הפקה</w:t>
            </w:r>
            <w:r w:rsidRPr="000E186E">
              <w:rPr>
                <w:rtl/>
              </w:rPr>
              <w:t xml:space="preserve"> </w:t>
            </w:r>
            <w:r w:rsidRPr="000E186E">
              <w:rPr>
                <w:rFonts w:hint="eastAsia"/>
                <w:rtl/>
              </w:rPr>
              <w:t>של</w:t>
            </w:r>
            <w:r w:rsidRPr="000E186E">
              <w:rPr>
                <w:rtl/>
              </w:rPr>
              <w:t xml:space="preserve"> </w:t>
            </w:r>
            <w:r w:rsidRPr="000E186E">
              <w:rPr>
                <w:rFonts w:hint="eastAsia"/>
                <w:rtl/>
              </w:rPr>
              <w:t>חומר</w:t>
            </w:r>
            <w:r w:rsidRPr="000E186E">
              <w:rPr>
                <w:rtl/>
              </w:rPr>
              <w:t xml:space="preserve"> </w:t>
            </w:r>
            <w:r w:rsidRPr="005F56B4">
              <w:rPr>
                <w:rFonts w:hint="eastAsia"/>
                <w:rtl/>
              </w:rPr>
              <w:t>מחשב</w:t>
            </w:r>
            <w:r>
              <w:rPr>
                <w:rFonts w:hint="cs"/>
                <w:rtl/>
              </w:rPr>
              <w:t>.</w:t>
            </w:r>
          </w:p>
        </w:tc>
      </w:tr>
      <w:tr w:rsidR="00F10D0E" w14:paraId="20EDDE62" w14:textId="77777777" w:rsidTr="00E24AF2">
        <w:trPr>
          <w:cantSplit/>
          <w:trHeight w:val="60"/>
        </w:trPr>
        <w:tc>
          <w:tcPr>
            <w:tcW w:w="1870" w:type="dxa"/>
          </w:tcPr>
          <w:p w14:paraId="7C3656ED" w14:textId="77777777" w:rsidR="00F10D0E" w:rsidRDefault="00F10D0E">
            <w:pPr>
              <w:pStyle w:val="TableSideHeading"/>
            </w:pPr>
          </w:p>
        </w:tc>
        <w:tc>
          <w:tcPr>
            <w:tcW w:w="624" w:type="dxa"/>
          </w:tcPr>
          <w:p w14:paraId="4BB1BBB5" w14:textId="77777777" w:rsidR="00F10D0E" w:rsidRDefault="00F10D0E" w:rsidP="00F10D0E">
            <w:pPr>
              <w:pStyle w:val="TableText"/>
            </w:pPr>
          </w:p>
        </w:tc>
        <w:tc>
          <w:tcPr>
            <w:tcW w:w="624" w:type="dxa"/>
          </w:tcPr>
          <w:p w14:paraId="7C7AE119" w14:textId="77777777" w:rsidR="00F10D0E" w:rsidRDefault="00F10D0E">
            <w:pPr>
              <w:pStyle w:val="TableText"/>
            </w:pPr>
          </w:p>
        </w:tc>
        <w:tc>
          <w:tcPr>
            <w:tcW w:w="624" w:type="dxa"/>
          </w:tcPr>
          <w:p w14:paraId="111A6DD4" w14:textId="77777777" w:rsidR="00F10D0E" w:rsidRDefault="00F10D0E">
            <w:pPr>
              <w:pStyle w:val="TableText"/>
            </w:pPr>
          </w:p>
        </w:tc>
        <w:tc>
          <w:tcPr>
            <w:tcW w:w="624" w:type="dxa"/>
          </w:tcPr>
          <w:p w14:paraId="3DF4074D" w14:textId="77777777" w:rsidR="00F10D0E" w:rsidRDefault="00F10D0E">
            <w:pPr>
              <w:pStyle w:val="TableText"/>
            </w:pPr>
          </w:p>
        </w:tc>
        <w:tc>
          <w:tcPr>
            <w:tcW w:w="624" w:type="dxa"/>
          </w:tcPr>
          <w:p w14:paraId="55C8F208" w14:textId="77777777" w:rsidR="00F10D0E" w:rsidRDefault="00F10D0E">
            <w:pPr>
              <w:pStyle w:val="TableText"/>
            </w:pPr>
          </w:p>
        </w:tc>
        <w:tc>
          <w:tcPr>
            <w:tcW w:w="624" w:type="dxa"/>
          </w:tcPr>
          <w:p w14:paraId="18FA0DAD" w14:textId="77777777" w:rsidR="00F10D0E" w:rsidRDefault="00F10D0E" w:rsidP="00F44C09">
            <w:pPr>
              <w:pStyle w:val="TableText"/>
              <w:numPr>
                <w:ilvl w:val="0"/>
                <w:numId w:val="20"/>
              </w:numPr>
              <w:tabs>
                <w:tab w:val="left" w:pos="624"/>
              </w:tabs>
              <w:jc w:val="both"/>
            </w:pPr>
          </w:p>
        </w:tc>
        <w:tc>
          <w:tcPr>
            <w:tcW w:w="4027" w:type="dxa"/>
            <w:gridSpan w:val="2"/>
          </w:tcPr>
          <w:p w14:paraId="4BEB677C" w14:textId="21BAAC68" w:rsidR="00F10D0E" w:rsidRPr="000E186E" w:rsidRDefault="00F10D0E" w:rsidP="00F10D0E">
            <w:pPr>
              <w:pStyle w:val="TableBlock"/>
              <w:rPr>
                <w:rtl/>
              </w:rPr>
            </w:pPr>
            <w:r w:rsidRPr="000E186E">
              <w:rPr>
                <w:rFonts w:hint="eastAsia"/>
                <w:rtl/>
              </w:rPr>
              <w:t>התקבל</w:t>
            </w:r>
            <w:r w:rsidRPr="000E186E">
              <w:rPr>
                <w:rtl/>
              </w:rPr>
              <w:t xml:space="preserve"> היתר </w:t>
            </w:r>
            <w:r w:rsidRPr="000E186E">
              <w:rPr>
                <w:rFonts w:hint="eastAsia"/>
                <w:rtl/>
              </w:rPr>
              <w:t>לביצוע</w:t>
            </w:r>
            <w:r w:rsidRPr="000E186E">
              <w:rPr>
                <w:rtl/>
              </w:rPr>
              <w:t xml:space="preserve"> </w:t>
            </w:r>
            <w:r w:rsidRPr="000E186E">
              <w:rPr>
                <w:rFonts w:hint="eastAsia"/>
                <w:rtl/>
              </w:rPr>
              <w:t>פעולה</w:t>
            </w:r>
            <w:r w:rsidRPr="000E186E">
              <w:rPr>
                <w:rtl/>
              </w:rPr>
              <w:t xml:space="preserve"> </w:t>
            </w:r>
            <w:r w:rsidRPr="000E186E">
              <w:rPr>
                <w:rFonts w:hint="eastAsia"/>
                <w:rtl/>
              </w:rPr>
              <w:t>בחומר</w:t>
            </w:r>
            <w:r w:rsidRPr="000E186E">
              <w:rPr>
                <w:rtl/>
              </w:rPr>
              <w:t xml:space="preserve"> מחשב לפי סעיף זה, ואגב ביצועו התקבל מידע מתקשורת בין מחשבים – קבלת מידע זה לא תיחשב להאזנת סתר לפי חוק האזנת </w:t>
            </w:r>
            <w:r w:rsidRPr="000E186E">
              <w:rPr>
                <w:rFonts w:hint="eastAsia"/>
                <w:rtl/>
              </w:rPr>
              <w:t>סתר</w:t>
            </w:r>
            <w:r w:rsidRPr="000E186E">
              <w:rPr>
                <w:rtl/>
              </w:rPr>
              <w:t>.</w:t>
            </w:r>
            <w:r w:rsidR="00725080">
              <w:rPr>
                <w:rFonts w:hint="cs"/>
                <w:rtl/>
              </w:rPr>
              <w:t>".</w:t>
            </w:r>
          </w:p>
        </w:tc>
      </w:tr>
      <w:tr w:rsidR="001A707B" w14:paraId="161B28B0" w14:textId="77777777" w:rsidTr="00E24AF2">
        <w:trPr>
          <w:cantSplit/>
          <w:trHeight w:val="60"/>
        </w:trPr>
        <w:tc>
          <w:tcPr>
            <w:tcW w:w="1870" w:type="dxa"/>
          </w:tcPr>
          <w:p w14:paraId="77B971C3" w14:textId="575A50C7" w:rsidR="001A707B" w:rsidRDefault="001A707B" w:rsidP="007E751D">
            <w:pPr>
              <w:pStyle w:val="TableSideHeading"/>
              <w:keepLines w:val="0"/>
            </w:pPr>
            <w:r>
              <w:rPr>
                <w:rFonts w:hint="cs"/>
                <w:rtl/>
              </w:rPr>
              <w:t>תיקון סעיף 11</w:t>
            </w:r>
          </w:p>
        </w:tc>
        <w:tc>
          <w:tcPr>
            <w:tcW w:w="624" w:type="dxa"/>
          </w:tcPr>
          <w:p w14:paraId="204E36C2" w14:textId="0217E17F" w:rsidR="001A707B" w:rsidRDefault="001A707B" w:rsidP="001A707B">
            <w:pPr>
              <w:pStyle w:val="TableText"/>
              <w:keepLines w:val="0"/>
              <w:tabs>
                <w:tab w:val="clear" w:pos="624"/>
              </w:tabs>
            </w:pPr>
            <w:r>
              <w:rPr>
                <w:rFonts w:hint="cs"/>
                <w:rtl/>
              </w:rPr>
              <w:t xml:space="preserve">9. </w:t>
            </w:r>
          </w:p>
        </w:tc>
        <w:tc>
          <w:tcPr>
            <w:tcW w:w="7147" w:type="dxa"/>
            <w:gridSpan w:val="7"/>
          </w:tcPr>
          <w:p w14:paraId="7397801F" w14:textId="10CF16F9" w:rsidR="001A707B" w:rsidRPr="00C34DE2" w:rsidRDefault="001A707B" w:rsidP="007E751D">
            <w:pPr>
              <w:pStyle w:val="TableBlock"/>
              <w:keepLines w:val="0"/>
            </w:pPr>
            <w:r>
              <w:rPr>
                <w:rFonts w:hint="cs"/>
                <w:rtl/>
              </w:rPr>
              <w:t xml:space="preserve">בסעיף 11 לחוק העיקרי </w:t>
            </w:r>
            <w:r>
              <w:rPr>
                <w:rtl/>
              </w:rPr>
              <w:t>–</w:t>
            </w:r>
            <w:r>
              <w:rPr>
                <w:rFonts w:hint="cs"/>
                <w:rtl/>
              </w:rPr>
              <w:t xml:space="preserve"> </w:t>
            </w:r>
          </w:p>
        </w:tc>
      </w:tr>
      <w:tr w:rsidR="001A707B" w14:paraId="59943A99" w14:textId="77777777" w:rsidTr="00E24AF2">
        <w:trPr>
          <w:cantSplit/>
          <w:trHeight w:val="60"/>
        </w:trPr>
        <w:tc>
          <w:tcPr>
            <w:tcW w:w="1870" w:type="dxa"/>
          </w:tcPr>
          <w:p w14:paraId="73B1194F" w14:textId="77777777" w:rsidR="001A707B" w:rsidRDefault="001A707B">
            <w:pPr>
              <w:pStyle w:val="TableSideHeading"/>
            </w:pPr>
          </w:p>
        </w:tc>
        <w:tc>
          <w:tcPr>
            <w:tcW w:w="624" w:type="dxa"/>
          </w:tcPr>
          <w:p w14:paraId="6C24D725" w14:textId="77777777" w:rsidR="001A707B" w:rsidRDefault="001A707B">
            <w:pPr>
              <w:pStyle w:val="TableText"/>
            </w:pPr>
          </w:p>
        </w:tc>
        <w:tc>
          <w:tcPr>
            <w:tcW w:w="624" w:type="dxa"/>
          </w:tcPr>
          <w:p w14:paraId="5C5E9290" w14:textId="77777777" w:rsidR="001A707B" w:rsidRDefault="001A707B" w:rsidP="00F44C09">
            <w:pPr>
              <w:pStyle w:val="TableText"/>
              <w:numPr>
                <w:ilvl w:val="0"/>
                <w:numId w:val="21"/>
              </w:numPr>
              <w:tabs>
                <w:tab w:val="left" w:pos="624"/>
              </w:tabs>
              <w:jc w:val="both"/>
            </w:pPr>
          </w:p>
        </w:tc>
        <w:tc>
          <w:tcPr>
            <w:tcW w:w="6523" w:type="dxa"/>
            <w:gridSpan w:val="6"/>
          </w:tcPr>
          <w:p w14:paraId="33297C59" w14:textId="461938F0" w:rsidR="001A707B" w:rsidRDefault="001A707B">
            <w:pPr>
              <w:pStyle w:val="TableBlock"/>
            </w:pPr>
            <w:r>
              <w:rPr>
                <w:rFonts w:hint="cs"/>
                <w:rtl/>
              </w:rPr>
              <w:t xml:space="preserve">בסעיף קטן (א) </w:t>
            </w:r>
            <w:r>
              <w:rPr>
                <w:rtl/>
              </w:rPr>
              <w:t>–</w:t>
            </w:r>
          </w:p>
        </w:tc>
      </w:tr>
      <w:tr w:rsidR="001A707B" w14:paraId="0049DDF3" w14:textId="77777777" w:rsidTr="00E24AF2">
        <w:trPr>
          <w:cantSplit/>
          <w:trHeight w:val="60"/>
        </w:trPr>
        <w:tc>
          <w:tcPr>
            <w:tcW w:w="1870" w:type="dxa"/>
          </w:tcPr>
          <w:p w14:paraId="027A0C19" w14:textId="77777777" w:rsidR="001A707B" w:rsidRDefault="001A707B">
            <w:pPr>
              <w:pStyle w:val="TableSideHeading"/>
            </w:pPr>
          </w:p>
        </w:tc>
        <w:tc>
          <w:tcPr>
            <w:tcW w:w="624" w:type="dxa"/>
          </w:tcPr>
          <w:p w14:paraId="1F2EBA54" w14:textId="77777777" w:rsidR="001A707B" w:rsidRDefault="001A707B" w:rsidP="001A707B">
            <w:pPr>
              <w:pStyle w:val="TableText"/>
            </w:pPr>
          </w:p>
        </w:tc>
        <w:tc>
          <w:tcPr>
            <w:tcW w:w="624" w:type="dxa"/>
          </w:tcPr>
          <w:p w14:paraId="5EAEF88A" w14:textId="77777777" w:rsidR="001A707B" w:rsidRDefault="001A707B" w:rsidP="001A707B">
            <w:pPr>
              <w:pStyle w:val="TableText"/>
              <w:jc w:val="both"/>
            </w:pPr>
          </w:p>
        </w:tc>
        <w:tc>
          <w:tcPr>
            <w:tcW w:w="6523" w:type="dxa"/>
            <w:gridSpan w:val="6"/>
          </w:tcPr>
          <w:p w14:paraId="7981B6AC" w14:textId="45C5BBC4" w:rsidR="001A707B" w:rsidRDefault="001A707B">
            <w:pPr>
              <w:pStyle w:val="TableBlock"/>
              <w:rPr>
                <w:rtl/>
              </w:rPr>
            </w:pPr>
            <w:r w:rsidRPr="0011218E">
              <w:rPr>
                <w:rFonts w:hint="cs"/>
                <w:rtl/>
              </w:rPr>
              <w:t>במקום הגדרת "מידע" יבוא "</w:t>
            </w:r>
            <w:r w:rsidRPr="0011218E">
              <w:rPr>
                <w:rtl/>
              </w:rPr>
              <w:t xml:space="preserve">נתוני תקשורת כהגדרתם </w:t>
            </w:r>
            <w:r w:rsidRPr="009C2880">
              <w:rPr>
                <w:rFonts w:hint="cs"/>
                <w:rtl/>
              </w:rPr>
              <w:t>בכללים</w:t>
            </w:r>
            <w:r>
              <w:rPr>
                <w:rFonts w:hint="cs"/>
                <w:rtl/>
              </w:rPr>
              <w:t>,</w:t>
            </w:r>
            <w:r w:rsidRPr="009C2880">
              <w:rPr>
                <w:rtl/>
              </w:rPr>
              <w:t xml:space="preserve"> לרבות באינטרנט</w:t>
            </w:r>
            <w:r w:rsidRPr="0011218E">
              <w:rPr>
                <w:rtl/>
              </w:rPr>
              <w:t xml:space="preserve">, וכן נתונים הנוגעים להפעלת מערכות תקשורת, למעט תוכן שיחה כמשמעותו בחוק האזנת סתר, </w:t>
            </w:r>
            <w:r w:rsidRPr="00C92689">
              <w:rPr>
                <w:rtl/>
              </w:rPr>
              <w:t>וכן נתוני שימוש באינטרנט שאינם תוכן שיחה בין אנשים</w:t>
            </w:r>
            <w:r>
              <w:rPr>
                <w:rFonts w:hint="cs"/>
                <w:rtl/>
              </w:rPr>
              <w:t>.".</w:t>
            </w:r>
          </w:p>
        </w:tc>
      </w:tr>
      <w:tr w:rsidR="001A707B" w14:paraId="467E56A0" w14:textId="77777777" w:rsidTr="00E24AF2">
        <w:trPr>
          <w:cantSplit/>
          <w:trHeight w:val="60"/>
        </w:trPr>
        <w:tc>
          <w:tcPr>
            <w:tcW w:w="1870" w:type="dxa"/>
          </w:tcPr>
          <w:p w14:paraId="74E4F2C8" w14:textId="77777777" w:rsidR="001A707B" w:rsidRDefault="001A707B">
            <w:pPr>
              <w:pStyle w:val="TableSideHeading"/>
            </w:pPr>
          </w:p>
        </w:tc>
        <w:tc>
          <w:tcPr>
            <w:tcW w:w="624" w:type="dxa"/>
          </w:tcPr>
          <w:p w14:paraId="0E42E3E9" w14:textId="77777777" w:rsidR="001A707B" w:rsidRDefault="001A707B" w:rsidP="001A707B">
            <w:pPr>
              <w:pStyle w:val="TableText"/>
            </w:pPr>
          </w:p>
        </w:tc>
        <w:tc>
          <w:tcPr>
            <w:tcW w:w="624" w:type="dxa"/>
          </w:tcPr>
          <w:p w14:paraId="372E21DC" w14:textId="77777777" w:rsidR="001A707B" w:rsidRDefault="001A707B" w:rsidP="00F44C09">
            <w:pPr>
              <w:pStyle w:val="TableText"/>
              <w:numPr>
                <w:ilvl w:val="0"/>
                <w:numId w:val="21"/>
              </w:numPr>
              <w:tabs>
                <w:tab w:val="left" w:pos="624"/>
              </w:tabs>
              <w:jc w:val="both"/>
            </w:pPr>
          </w:p>
        </w:tc>
        <w:tc>
          <w:tcPr>
            <w:tcW w:w="6523" w:type="dxa"/>
            <w:gridSpan w:val="6"/>
          </w:tcPr>
          <w:p w14:paraId="7FD5C1F2" w14:textId="4786567B" w:rsidR="001A707B" w:rsidRPr="0011218E" w:rsidRDefault="001A707B">
            <w:pPr>
              <w:pStyle w:val="TableBlock"/>
              <w:rPr>
                <w:rtl/>
              </w:rPr>
            </w:pPr>
            <w:r>
              <w:rPr>
                <w:rFonts w:hint="cs"/>
                <w:rtl/>
              </w:rPr>
              <w:t xml:space="preserve">בסעיף קטן (ב) </w:t>
            </w:r>
            <w:r>
              <w:rPr>
                <w:rtl/>
              </w:rPr>
              <w:t>–</w:t>
            </w:r>
            <w:r>
              <w:rPr>
                <w:rFonts w:hint="cs"/>
                <w:rtl/>
              </w:rPr>
              <w:t xml:space="preserve"> </w:t>
            </w:r>
          </w:p>
        </w:tc>
      </w:tr>
      <w:tr w:rsidR="001A707B" w14:paraId="194F32FB" w14:textId="77777777" w:rsidTr="00E24AF2">
        <w:trPr>
          <w:cantSplit/>
          <w:trHeight w:val="60"/>
        </w:trPr>
        <w:tc>
          <w:tcPr>
            <w:tcW w:w="1870" w:type="dxa"/>
          </w:tcPr>
          <w:p w14:paraId="07B07E95" w14:textId="77777777" w:rsidR="001A707B" w:rsidRDefault="001A707B">
            <w:pPr>
              <w:pStyle w:val="TableSideHeading"/>
            </w:pPr>
          </w:p>
        </w:tc>
        <w:tc>
          <w:tcPr>
            <w:tcW w:w="624" w:type="dxa"/>
          </w:tcPr>
          <w:p w14:paraId="18F4E210" w14:textId="77777777" w:rsidR="001A707B" w:rsidRDefault="001A707B">
            <w:pPr>
              <w:pStyle w:val="TableText"/>
            </w:pPr>
          </w:p>
        </w:tc>
        <w:tc>
          <w:tcPr>
            <w:tcW w:w="624" w:type="dxa"/>
          </w:tcPr>
          <w:p w14:paraId="059141AE" w14:textId="77777777" w:rsidR="001A707B" w:rsidRDefault="001A707B">
            <w:pPr>
              <w:pStyle w:val="TableText"/>
            </w:pPr>
          </w:p>
        </w:tc>
        <w:tc>
          <w:tcPr>
            <w:tcW w:w="624" w:type="dxa"/>
          </w:tcPr>
          <w:p w14:paraId="309156BA" w14:textId="77777777" w:rsidR="001A707B" w:rsidRDefault="001A707B" w:rsidP="00F44C09">
            <w:pPr>
              <w:pStyle w:val="TableText"/>
              <w:numPr>
                <w:ilvl w:val="0"/>
                <w:numId w:val="22"/>
              </w:numPr>
              <w:tabs>
                <w:tab w:val="left" w:pos="624"/>
              </w:tabs>
              <w:jc w:val="both"/>
            </w:pPr>
          </w:p>
        </w:tc>
        <w:tc>
          <w:tcPr>
            <w:tcW w:w="5899" w:type="dxa"/>
            <w:gridSpan w:val="5"/>
          </w:tcPr>
          <w:p w14:paraId="52B8DEFB" w14:textId="44261454" w:rsidR="001A707B" w:rsidRDefault="001A707B" w:rsidP="001A707B">
            <w:pPr>
              <w:pStyle w:val="TableBlock"/>
              <w:tabs>
                <w:tab w:val="clear" w:pos="624"/>
              </w:tabs>
              <w:autoSpaceDE w:val="0"/>
              <w:autoSpaceDN w:val="0"/>
              <w:adjustRightInd w:val="0"/>
              <w:contextualSpacing w:val="0"/>
              <w:textAlignment w:val="center"/>
            </w:pPr>
            <w:r w:rsidRPr="004A0F33">
              <w:rPr>
                <w:rFonts w:hint="cs"/>
                <w:rtl/>
              </w:rPr>
              <w:t>אחרי "סוגי מידע המצויים" יימחק "במאגרי מידע של" ויבוא "בידי";</w:t>
            </w:r>
          </w:p>
        </w:tc>
      </w:tr>
      <w:tr w:rsidR="001A707B" w14:paraId="6B7603BE" w14:textId="77777777" w:rsidTr="00E24AF2">
        <w:trPr>
          <w:cantSplit/>
          <w:trHeight w:val="60"/>
        </w:trPr>
        <w:tc>
          <w:tcPr>
            <w:tcW w:w="1870" w:type="dxa"/>
          </w:tcPr>
          <w:p w14:paraId="5EEB0171" w14:textId="77777777" w:rsidR="001A707B" w:rsidRDefault="001A707B">
            <w:pPr>
              <w:pStyle w:val="TableSideHeading"/>
            </w:pPr>
          </w:p>
        </w:tc>
        <w:tc>
          <w:tcPr>
            <w:tcW w:w="624" w:type="dxa"/>
          </w:tcPr>
          <w:p w14:paraId="78A34355" w14:textId="77777777" w:rsidR="001A707B" w:rsidRDefault="001A707B" w:rsidP="001A707B">
            <w:pPr>
              <w:pStyle w:val="TableText"/>
            </w:pPr>
          </w:p>
        </w:tc>
        <w:tc>
          <w:tcPr>
            <w:tcW w:w="624" w:type="dxa"/>
          </w:tcPr>
          <w:p w14:paraId="2A5B1AAD" w14:textId="77777777" w:rsidR="001A707B" w:rsidRDefault="001A707B">
            <w:pPr>
              <w:pStyle w:val="TableText"/>
            </w:pPr>
          </w:p>
        </w:tc>
        <w:tc>
          <w:tcPr>
            <w:tcW w:w="624" w:type="dxa"/>
          </w:tcPr>
          <w:p w14:paraId="041B3000" w14:textId="77777777" w:rsidR="001A707B" w:rsidRDefault="001A707B" w:rsidP="00F44C09">
            <w:pPr>
              <w:pStyle w:val="TableText"/>
              <w:numPr>
                <w:ilvl w:val="0"/>
                <w:numId w:val="22"/>
              </w:numPr>
              <w:tabs>
                <w:tab w:val="left" w:pos="624"/>
              </w:tabs>
              <w:jc w:val="both"/>
            </w:pPr>
          </w:p>
        </w:tc>
        <w:tc>
          <w:tcPr>
            <w:tcW w:w="5899" w:type="dxa"/>
            <w:gridSpan w:val="5"/>
          </w:tcPr>
          <w:p w14:paraId="220D189D" w14:textId="75CA85C8" w:rsidR="001A707B" w:rsidRPr="004A0F33" w:rsidRDefault="001A707B" w:rsidP="001A707B">
            <w:pPr>
              <w:pStyle w:val="TableBlock"/>
              <w:tabs>
                <w:tab w:val="clear" w:pos="624"/>
              </w:tabs>
              <w:autoSpaceDE w:val="0"/>
              <w:autoSpaceDN w:val="0"/>
              <w:adjustRightInd w:val="0"/>
              <w:contextualSpacing w:val="0"/>
              <w:textAlignment w:val="center"/>
              <w:rPr>
                <w:rtl/>
              </w:rPr>
            </w:pPr>
            <w:r w:rsidRPr="004A0F33">
              <w:rPr>
                <w:rFonts w:hint="cs"/>
                <w:rtl/>
              </w:rPr>
              <w:t>אחרי</w:t>
            </w:r>
            <w:r>
              <w:rPr>
                <w:rFonts w:hint="cs"/>
                <w:rtl/>
              </w:rPr>
              <w:t xml:space="preserve"> "לצורך מילוי תפקידיו לפי חוק זה" יבוא "</w:t>
            </w:r>
            <w:r w:rsidRPr="00C92689">
              <w:rPr>
                <w:rtl/>
              </w:rPr>
              <w:t>וניתן יהיה לקבלם לפי סעיף קטן (</w:t>
            </w:r>
            <w:r w:rsidRPr="00E51F8A">
              <w:rPr>
                <w:rtl/>
              </w:rPr>
              <w:t xml:space="preserve">ב1), </w:t>
            </w:r>
            <w:r w:rsidR="00B7793C" w:rsidRPr="00E51F8A">
              <w:rPr>
                <w:rFonts w:hint="cs"/>
                <w:rtl/>
              </w:rPr>
              <w:t>והכל</w:t>
            </w:r>
            <w:r w:rsidRPr="00E51F8A">
              <w:rPr>
                <w:rtl/>
              </w:rPr>
              <w:t xml:space="preserve"> ל</w:t>
            </w:r>
            <w:r w:rsidRPr="00C92689">
              <w:rPr>
                <w:rtl/>
              </w:rPr>
              <w:t>אחר ששקל את מידת הפגיעה בפרטיות הכרוכה בכך ושוכנע כי התועלת שתופק מקבלת סוגי המידע האמורים עולה על מידת הפגיעה בפרטיות; לעניין מידע מסוג נתוני שימוש באינטרנט, רשאי ראש הממשלה לקבוע כאמור אך לתכליות של סיכול טרור או ריגול ואבטחת אישים, במסגרת מילוי תפקידי השירות לפי סעי</w:t>
            </w:r>
            <w:r>
              <w:rPr>
                <w:rtl/>
              </w:rPr>
              <w:t>פים 7(ב)(1) ו-7(ב)(2) לחוק בלבד</w:t>
            </w:r>
            <w:r>
              <w:rPr>
                <w:rFonts w:hint="cs"/>
                <w:rtl/>
              </w:rPr>
              <w:t>.".</w:t>
            </w:r>
          </w:p>
        </w:tc>
      </w:tr>
      <w:tr w:rsidR="001A707B" w14:paraId="5F13FBBA" w14:textId="77777777" w:rsidTr="00E24AF2">
        <w:trPr>
          <w:cantSplit/>
          <w:trHeight w:val="60"/>
        </w:trPr>
        <w:tc>
          <w:tcPr>
            <w:tcW w:w="1870" w:type="dxa"/>
          </w:tcPr>
          <w:p w14:paraId="1B8FC8C4" w14:textId="77777777" w:rsidR="001A707B" w:rsidRDefault="001A707B">
            <w:pPr>
              <w:pStyle w:val="TableSideHeading"/>
            </w:pPr>
          </w:p>
        </w:tc>
        <w:tc>
          <w:tcPr>
            <w:tcW w:w="624" w:type="dxa"/>
          </w:tcPr>
          <w:p w14:paraId="7615CA90" w14:textId="77777777" w:rsidR="001A707B" w:rsidRDefault="001A707B">
            <w:pPr>
              <w:pStyle w:val="TableText"/>
            </w:pPr>
          </w:p>
        </w:tc>
        <w:tc>
          <w:tcPr>
            <w:tcW w:w="624" w:type="dxa"/>
          </w:tcPr>
          <w:p w14:paraId="3D08DB77" w14:textId="22CDC974" w:rsidR="001A707B" w:rsidRDefault="001A707B" w:rsidP="00F44C09">
            <w:pPr>
              <w:pStyle w:val="TableText"/>
              <w:numPr>
                <w:ilvl w:val="0"/>
                <w:numId w:val="21"/>
              </w:numPr>
            </w:pPr>
          </w:p>
        </w:tc>
        <w:tc>
          <w:tcPr>
            <w:tcW w:w="6523" w:type="dxa"/>
            <w:gridSpan w:val="6"/>
          </w:tcPr>
          <w:p w14:paraId="17D84677" w14:textId="71676F44" w:rsidR="001A707B" w:rsidRDefault="001A707B">
            <w:pPr>
              <w:pStyle w:val="TableBlock"/>
            </w:pPr>
            <w:r>
              <w:rPr>
                <w:rFonts w:hint="cs"/>
                <w:rtl/>
              </w:rPr>
              <w:t xml:space="preserve">אחרי סעיף קטן (ב) יבוא סעיף קטן (ב1) </w:t>
            </w:r>
            <w:r>
              <w:rPr>
                <w:rtl/>
              </w:rPr>
              <w:t>–</w:t>
            </w:r>
            <w:r>
              <w:rPr>
                <w:rFonts w:hint="cs"/>
                <w:rtl/>
              </w:rPr>
              <w:t xml:space="preserve"> </w:t>
            </w:r>
          </w:p>
        </w:tc>
      </w:tr>
      <w:tr w:rsidR="008617BF" w14:paraId="60A111EA" w14:textId="77777777" w:rsidTr="008617BF">
        <w:trPr>
          <w:cantSplit/>
          <w:trHeight w:val="60"/>
        </w:trPr>
        <w:tc>
          <w:tcPr>
            <w:tcW w:w="1870" w:type="dxa"/>
          </w:tcPr>
          <w:p w14:paraId="4CA84C2A" w14:textId="77777777" w:rsidR="008617BF" w:rsidRDefault="008617BF">
            <w:pPr>
              <w:pStyle w:val="TableSideHeading"/>
            </w:pPr>
          </w:p>
        </w:tc>
        <w:tc>
          <w:tcPr>
            <w:tcW w:w="624" w:type="dxa"/>
          </w:tcPr>
          <w:p w14:paraId="6F7EC7C3" w14:textId="77777777" w:rsidR="008617BF" w:rsidRDefault="008617BF">
            <w:pPr>
              <w:pStyle w:val="TableText"/>
            </w:pPr>
          </w:p>
        </w:tc>
        <w:tc>
          <w:tcPr>
            <w:tcW w:w="624" w:type="dxa"/>
          </w:tcPr>
          <w:p w14:paraId="6DC2823E" w14:textId="77777777" w:rsidR="008617BF" w:rsidRDefault="008617BF">
            <w:pPr>
              <w:pStyle w:val="TableText"/>
            </w:pPr>
          </w:p>
        </w:tc>
        <w:tc>
          <w:tcPr>
            <w:tcW w:w="624" w:type="dxa"/>
          </w:tcPr>
          <w:p w14:paraId="5A0B6ED8" w14:textId="2FA55766" w:rsidR="008617BF" w:rsidRDefault="008617BF">
            <w:pPr>
              <w:pStyle w:val="TableText"/>
            </w:pPr>
            <w:r>
              <w:rPr>
                <w:rFonts w:hint="cs"/>
                <w:rtl/>
              </w:rPr>
              <w:t>"(ב1)</w:t>
            </w:r>
          </w:p>
        </w:tc>
        <w:tc>
          <w:tcPr>
            <w:tcW w:w="624" w:type="dxa"/>
          </w:tcPr>
          <w:p w14:paraId="03A84B16" w14:textId="77777777" w:rsidR="008617BF" w:rsidRDefault="008617BF" w:rsidP="00F44C09">
            <w:pPr>
              <w:pStyle w:val="TableText"/>
              <w:numPr>
                <w:ilvl w:val="0"/>
                <w:numId w:val="31"/>
              </w:numPr>
              <w:tabs>
                <w:tab w:val="left" w:pos="624"/>
              </w:tabs>
              <w:jc w:val="both"/>
            </w:pPr>
          </w:p>
        </w:tc>
        <w:tc>
          <w:tcPr>
            <w:tcW w:w="5275" w:type="dxa"/>
            <w:gridSpan w:val="4"/>
          </w:tcPr>
          <w:p w14:paraId="6A552CB5" w14:textId="458D4A07" w:rsidR="008617BF" w:rsidRDefault="008617BF">
            <w:pPr>
              <w:pStyle w:val="TableBlock"/>
            </w:pPr>
            <w:r>
              <w:rPr>
                <w:rtl/>
              </w:rPr>
              <w:t>ראש השירות רשאי להורות לספק מורשה להעביר לידי השירות מידע המצוי בידיו מבין סוגי המידע שנקבעו על-ידי ראש הממשלה כאמור בסעיף קטן (ב) וזאת לאחר ששקל, בין היתר, את מידת הפגיעה בפרטיות ואת מידת הפגיעה בספק המורשה הכרוכות בכך, ושוכנע כי המידע דרוש לצורך מילוי תפקידיו של השירות וכי התועלת שתופק מקבלתו עולה על מידת הפגיעה כאמור</w:t>
            </w:r>
            <w:r>
              <w:rPr>
                <w:rFonts w:hint="cs"/>
                <w:rtl/>
              </w:rPr>
              <w:t>.</w:t>
            </w:r>
          </w:p>
        </w:tc>
      </w:tr>
      <w:tr w:rsidR="008617BF" w14:paraId="6AF9C45A" w14:textId="77777777" w:rsidTr="008617BF">
        <w:trPr>
          <w:cantSplit/>
          <w:trHeight w:val="60"/>
        </w:trPr>
        <w:tc>
          <w:tcPr>
            <w:tcW w:w="1870" w:type="dxa"/>
          </w:tcPr>
          <w:p w14:paraId="45D8A51E" w14:textId="77777777" w:rsidR="008617BF" w:rsidRDefault="008617BF">
            <w:pPr>
              <w:pStyle w:val="TableSideHeading"/>
            </w:pPr>
          </w:p>
        </w:tc>
        <w:tc>
          <w:tcPr>
            <w:tcW w:w="624" w:type="dxa"/>
          </w:tcPr>
          <w:p w14:paraId="234357C0" w14:textId="77777777" w:rsidR="008617BF" w:rsidRDefault="008617BF" w:rsidP="008617BF">
            <w:pPr>
              <w:pStyle w:val="TableText"/>
            </w:pPr>
          </w:p>
        </w:tc>
        <w:tc>
          <w:tcPr>
            <w:tcW w:w="624" w:type="dxa"/>
          </w:tcPr>
          <w:p w14:paraId="698A3125" w14:textId="77777777" w:rsidR="008617BF" w:rsidRDefault="008617BF">
            <w:pPr>
              <w:pStyle w:val="TableText"/>
            </w:pPr>
          </w:p>
        </w:tc>
        <w:tc>
          <w:tcPr>
            <w:tcW w:w="624" w:type="dxa"/>
          </w:tcPr>
          <w:p w14:paraId="758C54D2" w14:textId="77777777" w:rsidR="008617BF" w:rsidRDefault="008617BF">
            <w:pPr>
              <w:pStyle w:val="TableText"/>
              <w:rPr>
                <w:rtl/>
              </w:rPr>
            </w:pPr>
          </w:p>
        </w:tc>
        <w:tc>
          <w:tcPr>
            <w:tcW w:w="624" w:type="dxa"/>
          </w:tcPr>
          <w:p w14:paraId="239EEA36" w14:textId="77777777" w:rsidR="008617BF" w:rsidRDefault="008617BF" w:rsidP="00F44C09">
            <w:pPr>
              <w:pStyle w:val="TableText"/>
              <w:numPr>
                <w:ilvl w:val="0"/>
                <w:numId w:val="31"/>
              </w:numPr>
              <w:tabs>
                <w:tab w:val="left" w:pos="624"/>
              </w:tabs>
              <w:jc w:val="both"/>
            </w:pPr>
          </w:p>
        </w:tc>
        <w:tc>
          <w:tcPr>
            <w:tcW w:w="5275" w:type="dxa"/>
            <w:gridSpan w:val="4"/>
          </w:tcPr>
          <w:p w14:paraId="228BDF14" w14:textId="1D055D4A" w:rsidR="008617BF" w:rsidRDefault="008617BF">
            <w:pPr>
              <w:pStyle w:val="TableBlock"/>
              <w:rPr>
                <w:rtl/>
              </w:rPr>
            </w:pPr>
            <w:r>
              <w:rPr>
                <w:rtl/>
              </w:rPr>
              <w:t>ראש השירות ידווח בכתב על הוראה שנתן לפי סעיף זה לראש הממשלה וליועץ המשפטי לממשלה בהקדם האפשרי ולכל המאוחר תוך 72 שעות; ראש הממשלה יהיה רשאי לבטל את ההוראה או לסייגה</w:t>
            </w:r>
            <w:r>
              <w:rPr>
                <w:rFonts w:hint="cs"/>
                <w:rtl/>
              </w:rPr>
              <w:t>.</w:t>
            </w:r>
          </w:p>
        </w:tc>
      </w:tr>
      <w:tr w:rsidR="008617BF" w14:paraId="666EEE32" w14:textId="77777777" w:rsidTr="008617BF">
        <w:trPr>
          <w:cantSplit/>
          <w:trHeight w:val="60"/>
        </w:trPr>
        <w:tc>
          <w:tcPr>
            <w:tcW w:w="1870" w:type="dxa"/>
          </w:tcPr>
          <w:p w14:paraId="1043E480" w14:textId="77777777" w:rsidR="008617BF" w:rsidRDefault="008617BF">
            <w:pPr>
              <w:pStyle w:val="TableSideHeading"/>
            </w:pPr>
          </w:p>
        </w:tc>
        <w:tc>
          <w:tcPr>
            <w:tcW w:w="624" w:type="dxa"/>
          </w:tcPr>
          <w:p w14:paraId="17A1B561" w14:textId="77777777" w:rsidR="008617BF" w:rsidRDefault="008617BF" w:rsidP="008617BF">
            <w:pPr>
              <w:pStyle w:val="TableText"/>
            </w:pPr>
          </w:p>
        </w:tc>
        <w:tc>
          <w:tcPr>
            <w:tcW w:w="624" w:type="dxa"/>
          </w:tcPr>
          <w:p w14:paraId="31B80A87" w14:textId="77777777" w:rsidR="008617BF" w:rsidRDefault="008617BF">
            <w:pPr>
              <w:pStyle w:val="TableText"/>
            </w:pPr>
          </w:p>
        </w:tc>
        <w:tc>
          <w:tcPr>
            <w:tcW w:w="624" w:type="dxa"/>
          </w:tcPr>
          <w:p w14:paraId="7C78B109" w14:textId="77777777" w:rsidR="008617BF" w:rsidRDefault="008617BF">
            <w:pPr>
              <w:pStyle w:val="TableText"/>
              <w:rPr>
                <w:rtl/>
              </w:rPr>
            </w:pPr>
          </w:p>
        </w:tc>
        <w:tc>
          <w:tcPr>
            <w:tcW w:w="624" w:type="dxa"/>
          </w:tcPr>
          <w:p w14:paraId="3D2C97DC" w14:textId="77777777" w:rsidR="008617BF" w:rsidRDefault="008617BF" w:rsidP="00F44C09">
            <w:pPr>
              <w:pStyle w:val="TableText"/>
              <w:numPr>
                <w:ilvl w:val="0"/>
                <w:numId w:val="31"/>
              </w:numPr>
              <w:tabs>
                <w:tab w:val="left" w:pos="624"/>
              </w:tabs>
              <w:jc w:val="both"/>
            </w:pPr>
          </w:p>
        </w:tc>
        <w:tc>
          <w:tcPr>
            <w:tcW w:w="5275" w:type="dxa"/>
            <w:gridSpan w:val="4"/>
          </w:tcPr>
          <w:p w14:paraId="72CABAD8" w14:textId="1B18DC5A" w:rsidR="008617BF" w:rsidRDefault="008617BF">
            <w:pPr>
              <w:pStyle w:val="TableBlock"/>
              <w:rPr>
                <w:rtl/>
              </w:rPr>
            </w:pPr>
            <w:r>
              <w:rPr>
                <w:rtl/>
              </w:rPr>
              <w:t>הוראה לפי סעיף זה תהיה לתקופה שתיקבע בה, אשר לא תעלה על 5 שנים, ואולם ראש השירות יהיה רשאי לשוב ולחדשה לתקופות נוספות כאמור, אם שוכנע כי הנימוקים לתתה עודם מתקיימים, ותחול לעניין זה הוראת פסקה (2); ההוראה ומידע הנוגע אליה יהיו חסויים וגילויים או פרסומם אסור.</w:t>
            </w:r>
            <w:r>
              <w:rPr>
                <w:rFonts w:hint="cs"/>
                <w:rtl/>
              </w:rPr>
              <w:t>".</w:t>
            </w:r>
          </w:p>
        </w:tc>
      </w:tr>
      <w:tr w:rsidR="00262C00" w14:paraId="087F7D1D" w14:textId="77777777" w:rsidTr="00E24AF2">
        <w:trPr>
          <w:cantSplit/>
          <w:trHeight w:val="60"/>
        </w:trPr>
        <w:tc>
          <w:tcPr>
            <w:tcW w:w="1870" w:type="dxa"/>
          </w:tcPr>
          <w:p w14:paraId="282520DD" w14:textId="77777777" w:rsidR="00262C00" w:rsidRDefault="00262C00">
            <w:pPr>
              <w:pStyle w:val="TableSideHeading"/>
            </w:pPr>
          </w:p>
        </w:tc>
        <w:tc>
          <w:tcPr>
            <w:tcW w:w="624" w:type="dxa"/>
          </w:tcPr>
          <w:p w14:paraId="336A8F95" w14:textId="77777777" w:rsidR="00262C00" w:rsidRDefault="00262C00">
            <w:pPr>
              <w:pStyle w:val="TableText"/>
            </w:pPr>
          </w:p>
        </w:tc>
        <w:tc>
          <w:tcPr>
            <w:tcW w:w="624" w:type="dxa"/>
          </w:tcPr>
          <w:p w14:paraId="1A13240B" w14:textId="2B72CA56" w:rsidR="00262C00" w:rsidRDefault="00262C00" w:rsidP="00F44C09">
            <w:pPr>
              <w:pStyle w:val="TableText"/>
              <w:numPr>
                <w:ilvl w:val="0"/>
                <w:numId w:val="31"/>
              </w:numPr>
            </w:pPr>
          </w:p>
        </w:tc>
        <w:tc>
          <w:tcPr>
            <w:tcW w:w="6523" w:type="dxa"/>
            <w:gridSpan w:val="6"/>
          </w:tcPr>
          <w:p w14:paraId="6B5A7676" w14:textId="19312317" w:rsidR="00262C00" w:rsidRDefault="00E24AF2">
            <w:pPr>
              <w:pStyle w:val="TableBlock"/>
            </w:pPr>
            <w:r>
              <w:rPr>
                <w:rFonts w:hint="cs"/>
                <w:rtl/>
              </w:rPr>
              <w:t xml:space="preserve">אחרי סעיף קטן (ב1) יבוא סעיף קטן (ב2) </w:t>
            </w:r>
            <w:r>
              <w:rPr>
                <w:rtl/>
              </w:rPr>
              <w:t>–</w:t>
            </w:r>
            <w:r>
              <w:rPr>
                <w:rFonts w:hint="cs"/>
                <w:rtl/>
              </w:rPr>
              <w:t xml:space="preserve"> </w:t>
            </w:r>
          </w:p>
        </w:tc>
      </w:tr>
      <w:tr w:rsidR="008617BF" w14:paraId="785A3B28" w14:textId="77777777" w:rsidTr="008617BF">
        <w:trPr>
          <w:cantSplit/>
          <w:trHeight w:val="60"/>
        </w:trPr>
        <w:tc>
          <w:tcPr>
            <w:tcW w:w="1870" w:type="dxa"/>
          </w:tcPr>
          <w:p w14:paraId="58C38E30" w14:textId="77777777" w:rsidR="008617BF" w:rsidRDefault="008617BF">
            <w:pPr>
              <w:pStyle w:val="TableSideHeading"/>
            </w:pPr>
          </w:p>
        </w:tc>
        <w:tc>
          <w:tcPr>
            <w:tcW w:w="624" w:type="dxa"/>
          </w:tcPr>
          <w:p w14:paraId="6132BBCD" w14:textId="77777777" w:rsidR="008617BF" w:rsidRDefault="008617BF">
            <w:pPr>
              <w:pStyle w:val="TableText"/>
            </w:pPr>
          </w:p>
        </w:tc>
        <w:tc>
          <w:tcPr>
            <w:tcW w:w="624" w:type="dxa"/>
          </w:tcPr>
          <w:p w14:paraId="725B84AE" w14:textId="77777777" w:rsidR="008617BF" w:rsidRDefault="008617BF">
            <w:pPr>
              <w:pStyle w:val="TableText"/>
            </w:pPr>
          </w:p>
        </w:tc>
        <w:tc>
          <w:tcPr>
            <w:tcW w:w="624" w:type="dxa"/>
          </w:tcPr>
          <w:p w14:paraId="3BFE05EA" w14:textId="28363926" w:rsidR="008617BF" w:rsidRDefault="008617BF">
            <w:pPr>
              <w:pStyle w:val="TableText"/>
            </w:pPr>
            <w:r>
              <w:rPr>
                <w:rFonts w:hint="cs"/>
                <w:rtl/>
              </w:rPr>
              <w:t>"(ב2)</w:t>
            </w:r>
          </w:p>
        </w:tc>
        <w:tc>
          <w:tcPr>
            <w:tcW w:w="5899" w:type="dxa"/>
            <w:gridSpan w:val="5"/>
          </w:tcPr>
          <w:p w14:paraId="1B35C1D8" w14:textId="5C75F0D1" w:rsidR="008617BF" w:rsidRDefault="008617BF">
            <w:pPr>
              <w:pStyle w:val="TableBlock"/>
            </w:pPr>
            <w:r>
              <w:rPr>
                <w:rFonts w:hint="cs"/>
                <w:rtl/>
              </w:rPr>
              <w:t>ה</w:t>
            </w:r>
            <w:r w:rsidRPr="0050150A">
              <w:rPr>
                <w:rtl/>
              </w:rPr>
              <w:t xml:space="preserve">שירות רשאי לבצע פעולות נלוות במטרה </w:t>
            </w:r>
            <w:proofErr w:type="spellStart"/>
            <w:r w:rsidRPr="0050150A">
              <w:rPr>
                <w:rtl/>
              </w:rPr>
              <w:t>להנגיש</w:t>
            </w:r>
            <w:proofErr w:type="spellEnd"/>
            <w:r w:rsidRPr="0050150A">
              <w:rPr>
                <w:rtl/>
              </w:rPr>
              <w:t xml:space="preserve"> סוגי מידע המתקבלים מכוח סעיף זה, אשר לא ניתן היה לקבלם או לעשות בהם שימוש לפי סעיף זה לולא פעולות אלו, ובלבד ש</w:t>
            </w:r>
            <w:r w:rsidRPr="0050150A">
              <w:rPr>
                <w:rFonts w:hint="cs"/>
                <w:rtl/>
              </w:rPr>
              <w:t xml:space="preserve">מכוח סעיף זה </w:t>
            </w:r>
            <w:r w:rsidRPr="0050150A">
              <w:rPr>
                <w:rtl/>
              </w:rPr>
              <w:t xml:space="preserve">לא ישמר ולא יעשה שימוש </w:t>
            </w:r>
            <w:r w:rsidRPr="0050150A">
              <w:rPr>
                <w:rFonts w:hint="cs"/>
                <w:rtl/>
              </w:rPr>
              <w:t>במידע נוסף שאינו חיוני לשם קבלת סוגי המידע כאמור.</w:t>
            </w:r>
            <w:r>
              <w:rPr>
                <w:rFonts w:hint="cs"/>
                <w:rtl/>
              </w:rPr>
              <w:t>"</w:t>
            </w:r>
          </w:p>
        </w:tc>
      </w:tr>
      <w:tr w:rsidR="00E24AF2" w14:paraId="43370B09" w14:textId="77777777" w:rsidTr="00E24AF2">
        <w:trPr>
          <w:cantSplit/>
          <w:trHeight w:val="60"/>
        </w:trPr>
        <w:tc>
          <w:tcPr>
            <w:tcW w:w="1870" w:type="dxa"/>
          </w:tcPr>
          <w:p w14:paraId="36EADB5B" w14:textId="77777777" w:rsidR="00E24AF2" w:rsidRDefault="00E24AF2">
            <w:pPr>
              <w:pStyle w:val="TableSideHeading"/>
            </w:pPr>
          </w:p>
        </w:tc>
        <w:tc>
          <w:tcPr>
            <w:tcW w:w="624" w:type="dxa"/>
          </w:tcPr>
          <w:p w14:paraId="6AEE1350" w14:textId="77777777" w:rsidR="00E24AF2" w:rsidRDefault="00E24AF2" w:rsidP="00E24AF2">
            <w:pPr>
              <w:pStyle w:val="TableText"/>
            </w:pPr>
          </w:p>
        </w:tc>
        <w:tc>
          <w:tcPr>
            <w:tcW w:w="624" w:type="dxa"/>
          </w:tcPr>
          <w:p w14:paraId="4A67DB6C" w14:textId="6BC1EE36" w:rsidR="00E24AF2" w:rsidRDefault="00E24AF2" w:rsidP="00F44C09">
            <w:pPr>
              <w:pStyle w:val="TableText"/>
              <w:numPr>
                <w:ilvl w:val="0"/>
                <w:numId w:val="31"/>
              </w:numPr>
            </w:pPr>
          </w:p>
        </w:tc>
        <w:tc>
          <w:tcPr>
            <w:tcW w:w="6523" w:type="dxa"/>
            <w:gridSpan w:val="6"/>
          </w:tcPr>
          <w:p w14:paraId="0D59A5B7" w14:textId="062D58FD" w:rsidR="00E24AF2" w:rsidRPr="00E24AF2" w:rsidRDefault="00E24AF2">
            <w:pPr>
              <w:pStyle w:val="TableBlock"/>
              <w:rPr>
                <w:rtl/>
              </w:rPr>
            </w:pPr>
            <w:r>
              <w:rPr>
                <w:rFonts w:hint="cs"/>
                <w:rtl/>
              </w:rPr>
              <w:t xml:space="preserve">בסעיף קטן (ג) </w:t>
            </w:r>
            <w:r>
              <w:rPr>
                <w:rtl/>
              </w:rPr>
              <w:t>–</w:t>
            </w:r>
            <w:r>
              <w:rPr>
                <w:rFonts w:hint="cs"/>
                <w:rtl/>
              </w:rPr>
              <w:t xml:space="preserve"> </w:t>
            </w:r>
          </w:p>
        </w:tc>
      </w:tr>
      <w:tr w:rsidR="00E24AF2" w14:paraId="52EE7828" w14:textId="77777777" w:rsidTr="00E24AF2">
        <w:trPr>
          <w:cantSplit/>
          <w:trHeight w:val="60"/>
        </w:trPr>
        <w:tc>
          <w:tcPr>
            <w:tcW w:w="1870" w:type="dxa"/>
          </w:tcPr>
          <w:p w14:paraId="14BBA101" w14:textId="77777777" w:rsidR="00E24AF2" w:rsidRDefault="00E24AF2">
            <w:pPr>
              <w:pStyle w:val="TableSideHeading"/>
            </w:pPr>
          </w:p>
        </w:tc>
        <w:tc>
          <w:tcPr>
            <w:tcW w:w="624" w:type="dxa"/>
          </w:tcPr>
          <w:p w14:paraId="7D1C5496" w14:textId="77777777" w:rsidR="00E24AF2" w:rsidRDefault="00E24AF2">
            <w:pPr>
              <w:pStyle w:val="TableText"/>
            </w:pPr>
          </w:p>
        </w:tc>
        <w:tc>
          <w:tcPr>
            <w:tcW w:w="624" w:type="dxa"/>
          </w:tcPr>
          <w:p w14:paraId="42E60BA8" w14:textId="77777777" w:rsidR="00E24AF2" w:rsidRDefault="00E24AF2">
            <w:pPr>
              <w:pStyle w:val="TableText"/>
            </w:pPr>
          </w:p>
        </w:tc>
        <w:tc>
          <w:tcPr>
            <w:tcW w:w="624" w:type="dxa"/>
          </w:tcPr>
          <w:p w14:paraId="0E5A0DF7" w14:textId="77777777" w:rsidR="00E24AF2" w:rsidRDefault="00E24AF2" w:rsidP="00F44C09">
            <w:pPr>
              <w:pStyle w:val="TableText"/>
              <w:numPr>
                <w:ilvl w:val="0"/>
                <w:numId w:val="23"/>
              </w:numPr>
              <w:tabs>
                <w:tab w:val="left" w:pos="624"/>
              </w:tabs>
              <w:jc w:val="both"/>
            </w:pPr>
          </w:p>
        </w:tc>
        <w:tc>
          <w:tcPr>
            <w:tcW w:w="5899" w:type="dxa"/>
            <w:gridSpan w:val="5"/>
          </w:tcPr>
          <w:p w14:paraId="2FD67FB8" w14:textId="2E3A3587" w:rsidR="00E24AF2" w:rsidRPr="00E24AF2" w:rsidRDefault="00E24AF2" w:rsidP="00E24AF2">
            <w:pPr>
              <w:pStyle w:val="TableBlock"/>
              <w:autoSpaceDE w:val="0"/>
              <w:autoSpaceDN w:val="0"/>
              <w:adjustRightInd w:val="0"/>
              <w:contextualSpacing w:val="0"/>
              <w:textAlignment w:val="center"/>
            </w:pPr>
            <w:r w:rsidRPr="004A0F33">
              <w:rPr>
                <w:rFonts w:hint="cs"/>
                <w:rtl/>
              </w:rPr>
              <w:t>במקום "המצוי במאגר מידע" יבוא "שהתקבל";</w:t>
            </w:r>
          </w:p>
        </w:tc>
      </w:tr>
      <w:tr w:rsidR="00E24AF2" w14:paraId="3422B49A" w14:textId="77777777" w:rsidTr="00E24AF2">
        <w:trPr>
          <w:cantSplit/>
          <w:trHeight w:val="60"/>
        </w:trPr>
        <w:tc>
          <w:tcPr>
            <w:tcW w:w="1870" w:type="dxa"/>
          </w:tcPr>
          <w:p w14:paraId="78E3AF49" w14:textId="77777777" w:rsidR="00E24AF2" w:rsidRDefault="00E24AF2">
            <w:pPr>
              <w:pStyle w:val="TableSideHeading"/>
            </w:pPr>
          </w:p>
        </w:tc>
        <w:tc>
          <w:tcPr>
            <w:tcW w:w="624" w:type="dxa"/>
          </w:tcPr>
          <w:p w14:paraId="51C887EB" w14:textId="77777777" w:rsidR="00E24AF2" w:rsidRDefault="00E24AF2" w:rsidP="00E24AF2">
            <w:pPr>
              <w:pStyle w:val="TableText"/>
            </w:pPr>
          </w:p>
        </w:tc>
        <w:tc>
          <w:tcPr>
            <w:tcW w:w="624" w:type="dxa"/>
          </w:tcPr>
          <w:p w14:paraId="15131AB7" w14:textId="77777777" w:rsidR="00E24AF2" w:rsidRDefault="00E24AF2">
            <w:pPr>
              <w:pStyle w:val="TableText"/>
            </w:pPr>
          </w:p>
        </w:tc>
        <w:tc>
          <w:tcPr>
            <w:tcW w:w="624" w:type="dxa"/>
          </w:tcPr>
          <w:p w14:paraId="18F497E1" w14:textId="77777777" w:rsidR="00E24AF2" w:rsidRDefault="00E24AF2" w:rsidP="00F44C09">
            <w:pPr>
              <w:pStyle w:val="TableText"/>
              <w:numPr>
                <w:ilvl w:val="0"/>
                <w:numId w:val="23"/>
              </w:numPr>
              <w:tabs>
                <w:tab w:val="left" w:pos="624"/>
              </w:tabs>
              <w:jc w:val="both"/>
            </w:pPr>
          </w:p>
        </w:tc>
        <w:tc>
          <w:tcPr>
            <w:tcW w:w="5899" w:type="dxa"/>
            <w:gridSpan w:val="5"/>
          </w:tcPr>
          <w:p w14:paraId="7A734B75" w14:textId="40611E6E" w:rsidR="00E24AF2" w:rsidRPr="00E24AF2" w:rsidRDefault="00E24AF2" w:rsidP="00E24AF2">
            <w:pPr>
              <w:pStyle w:val="TableBlock"/>
              <w:autoSpaceDE w:val="0"/>
              <w:autoSpaceDN w:val="0"/>
              <w:adjustRightInd w:val="0"/>
              <w:contextualSpacing w:val="0"/>
              <w:textAlignment w:val="center"/>
              <w:rPr>
                <w:rtl/>
              </w:rPr>
            </w:pPr>
            <w:r w:rsidRPr="004A0F33">
              <w:rPr>
                <w:rFonts w:hint="cs"/>
                <w:rtl/>
              </w:rPr>
              <w:t>במקום "היתר מאת ראש השירות" יבוא "הסמכה מאת ראש השירות";</w:t>
            </w:r>
          </w:p>
        </w:tc>
      </w:tr>
      <w:tr w:rsidR="00E24AF2" w14:paraId="120430F9" w14:textId="77777777" w:rsidTr="00E24AF2">
        <w:trPr>
          <w:cantSplit/>
          <w:trHeight w:val="60"/>
        </w:trPr>
        <w:tc>
          <w:tcPr>
            <w:tcW w:w="1870" w:type="dxa"/>
          </w:tcPr>
          <w:p w14:paraId="69FF0F9B" w14:textId="77777777" w:rsidR="00E24AF2" w:rsidRDefault="00E24AF2">
            <w:pPr>
              <w:pStyle w:val="TableSideHeading"/>
            </w:pPr>
          </w:p>
        </w:tc>
        <w:tc>
          <w:tcPr>
            <w:tcW w:w="624" w:type="dxa"/>
          </w:tcPr>
          <w:p w14:paraId="79069A1A" w14:textId="77777777" w:rsidR="00E24AF2" w:rsidRDefault="00E24AF2" w:rsidP="00E24AF2">
            <w:pPr>
              <w:pStyle w:val="TableText"/>
            </w:pPr>
          </w:p>
        </w:tc>
        <w:tc>
          <w:tcPr>
            <w:tcW w:w="624" w:type="dxa"/>
          </w:tcPr>
          <w:p w14:paraId="0D52CDC3" w14:textId="77777777" w:rsidR="00E24AF2" w:rsidRDefault="00E24AF2">
            <w:pPr>
              <w:pStyle w:val="TableText"/>
            </w:pPr>
          </w:p>
        </w:tc>
        <w:tc>
          <w:tcPr>
            <w:tcW w:w="624" w:type="dxa"/>
          </w:tcPr>
          <w:p w14:paraId="3CAC5E1F" w14:textId="77777777" w:rsidR="00E24AF2" w:rsidRDefault="00E24AF2" w:rsidP="00F44C09">
            <w:pPr>
              <w:pStyle w:val="TableText"/>
              <w:numPr>
                <w:ilvl w:val="0"/>
                <w:numId w:val="23"/>
              </w:numPr>
              <w:tabs>
                <w:tab w:val="left" w:pos="624"/>
              </w:tabs>
              <w:jc w:val="both"/>
            </w:pPr>
          </w:p>
        </w:tc>
        <w:tc>
          <w:tcPr>
            <w:tcW w:w="5899" w:type="dxa"/>
            <w:gridSpan w:val="5"/>
          </w:tcPr>
          <w:p w14:paraId="3BA3B283" w14:textId="1D12598D" w:rsidR="00E24AF2" w:rsidRPr="00E24AF2" w:rsidRDefault="00E24AF2" w:rsidP="00E24AF2">
            <w:pPr>
              <w:pStyle w:val="TableBlock"/>
              <w:autoSpaceDE w:val="0"/>
              <w:autoSpaceDN w:val="0"/>
              <w:adjustRightInd w:val="0"/>
              <w:contextualSpacing w:val="0"/>
              <w:textAlignment w:val="center"/>
              <w:rPr>
                <w:rtl/>
              </w:rPr>
            </w:pPr>
            <w:r w:rsidRPr="004A0F33">
              <w:rPr>
                <w:rFonts w:hint="cs"/>
                <w:rtl/>
              </w:rPr>
              <w:t xml:space="preserve">במקום "בהיתר יפורטו" יבוא "בהסמכה יפורטו";  </w:t>
            </w:r>
          </w:p>
        </w:tc>
      </w:tr>
      <w:tr w:rsidR="00E24AF2" w14:paraId="1C2E02D6" w14:textId="77777777" w:rsidTr="00E24AF2">
        <w:trPr>
          <w:cantSplit/>
          <w:trHeight w:val="60"/>
        </w:trPr>
        <w:tc>
          <w:tcPr>
            <w:tcW w:w="1870" w:type="dxa"/>
          </w:tcPr>
          <w:p w14:paraId="7022A32A" w14:textId="77777777" w:rsidR="00E24AF2" w:rsidRDefault="00E24AF2">
            <w:pPr>
              <w:pStyle w:val="TableSideHeading"/>
            </w:pPr>
          </w:p>
        </w:tc>
        <w:tc>
          <w:tcPr>
            <w:tcW w:w="624" w:type="dxa"/>
          </w:tcPr>
          <w:p w14:paraId="7BDA6B01" w14:textId="77777777" w:rsidR="00E24AF2" w:rsidRDefault="00E24AF2" w:rsidP="00E24AF2">
            <w:pPr>
              <w:pStyle w:val="TableText"/>
            </w:pPr>
          </w:p>
        </w:tc>
        <w:tc>
          <w:tcPr>
            <w:tcW w:w="624" w:type="dxa"/>
          </w:tcPr>
          <w:p w14:paraId="0548032C" w14:textId="77777777" w:rsidR="00E24AF2" w:rsidRDefault="00E24AF2">
            <w:pPr>
              <w:pStyle w:val="TableText"/>
            </w:pPr>
          </w:p>
        </w:tc>
        <w:tc>
          <w:tcPr>
            <w:tcW w:w="624" w:type="dxa"/>
          </w:tcPr>
          <w:p w14:paraId="36AE6190" w14:textId="77777777" w:rsidR="00E24AF2" w:rsidRDefault="00E24AF2" w:rsidP="00F44C09">
            <w:pPr>
              <w:pStyle w:val="TableText"/>
              <w:numPr>
                <w:ilvl w:val="0"/>
                <w:numId w:val="23"/>
              </w:numPr>
              <w:tabs>
                <w:tab w:val="left" w:pos="624"/>
              </w:tabs>
              <w:jc w:val="both"/>
            </w:pPr>
          </w:p>
        </w:tc>
        <w:tc>
          <w:tcPr>
            <w:tcW w:w="5899" w:type="dxa"/>
            <w:gridSpan w:val="5"/>
          </w:tcPr>
          <w:p w14:paraId="5AE19C17" w14:textId="42E49002" w:rsidR="00E24AF2" w:rsidRPr="00E24AF2" w:rsidRDefault="00E24AF2" w:rsidP="00E24AF2">
            <w:pPr>
              <w:pStyle w:val="TableBlock"/>
              <w:autoSpaceDE w:val="0"/>
              <w:autoSpaceDN w:val="0"/>
              <w:adjustRightInd w:val="0"/>
              <w:contextualSpacing w:val="0"/>
              <w:textAlignment w:val="center"/>
              <w:rPr>
                <w:rtl/>
              </w:rPr>
            </w:pPr>
            <w:r w:rsidRPr="004A0F33">
              <w:rPr>
                <w:rFonts w:hint="cs"/>
                <w:rtl/>
              </w:rPr>
              <w:t>אחרי "והמטרה שלשמה הוא נדרש" יימחק "</w:t>
            </w:r>
            <w:r w:rsidRPr="004A0F33">
              <w:rPr>
                <w:rtl/>
              </w:rPr>
              <w:t xml:space="preserve">ופרטים </w:t>
            </w:r>
            <w:proofErr w:type="spellStart"/>
            <w:r w:rsidRPr="004A0F33">
              <w:rPr>
                <w:rtl/>
              </w:rPr>
              <w:t>לענין</w:t>
            </w:r>
            <w:proofErr w:type="spellEnd"/>
            <w:r w:rsidRPr="004A0F33">
              <w:rPr>
                <w:rtl/>
              </w:rPr>
              <w:t xml:space="preserve"> מאגר המידע שבו הוא מצוי</w:t>
            </w:r>
            <w:r w:rsidRPr="004A0F33">
              <w:rPr>
                <w:rFonts w:hint="cs"/>
                <w:rtl/>
              </w:rPr>
              <w:t>";</w:t>
            </w:r>
          </w:p>
        </w:tc>
      </w:tr>
      <w:tr w:rsidR="00E24AF2" w14:paraId="267D6BAE" w14:textId="77777777" w:rsidTr="00E24AF2">
        <w:trPr>
          <w:cantSplit/>
          <w:trHeight w:val="60"/>
        </w:trPr>
        <w:tc>
          <w:tcPr>
            <w:tcW w:w="1870" w:type="dxa"/>
          </w:tcPr>
          <w:p w14:paraId="1DB2E3A2" w14:textId="77777777" w:rsidR="00E24AF2" w:rsidRDefault="00E24AF2">
            <w:pPr>
              <w:pStyle w:val="TableSideHeading"/>
            </w:pPr>
          </w:p>
        </w:tc>
        <w:tc>
          <w:tcPr>
            <w:tcW w:w="624" w:type="dxa"/>
          </w:tcPr>
          <w:p w14:paraId="72D375AC" w14:textId="77777777" w:rsidR="00E24AF2" w:rsidRDefault="00E24AF2" w:rsidP="00E24AF2">
            <w:pPr>
              <w:pStyle w:val="TableText"/>
            </w:pPr>
          </w:p>
        </w:tc>
        <w:tc>
          <w:tcPr>
            <w:tcW w:w="624" w:type="dxa"/>
          </w:tcPr>
          <w:p w14:paraId="35562DB0" w14:textId="77777777" w:rsidR="00E24AF2" w:rsidRDefault="00E24AF2">
            <w:pPr>
              <w:pStyle w:val="TableText"/>
            </w:pPr>
          </w:p>
        </w:tc>
        <w:tc>
          <w:tcPr>
            <w:tcW w:w="624" w:type="dxa"/>
          </w:tcPr>
          <w:p w14:paraId="4623897C" w14:textId="77777777" w:rsidR="00E24AF2" w:rsidRDefault="00E24AF2" w:rsidP="00F44C09">
            <w:pPr>
              <w:pStyle w:val="TableText"/>
              <w:numPr>
                <w:ilvl w:val="0"/>
                <w:numId w:val="23"/>
              </w:numPr>
              <w:tabs>
                <w:tab w:val="left" w:pos="624"/>
              </w:tabs>
              <w:jc w:val="both"/>
            </w:pPr>
          </w:p>
        </w:tc>
        <w:tc>
          <w:tcPr>
            <w:tcW w:w="5899" w:type="dxa"/>
            <w:gridSpan w:val="5"/>
          </w:tcPr>
          <w:p w14:paraId="5C5E3E00" w14:textId="61E4E268" w:rsidR="00E24AF2" w:rsidRPr="004A0F33" w:rsidRDefault="00E24AF2" w:rsidP="00E24AF2">
            <w:pPr>
              <w:pStyle w:val="TableBlock"/>
              <w:autoSpaceDE w:val="0"/>
              <w:autoSpaceDN w:val="0"/>
              <w:adjustRightInd w:val="0"/>
              <w:contextualSpacing w:val="0"/>
              <w:textAlignment w:val="center"/>
              <w:rPr>
                <w:rtl/>
              </w:rPr>
            </w:pPr>
            <w:r w:rsidRPr="004A0F33">
              <w:rPr>
                <w:rFonts w:hint="cs"/>
                <w:rtl/>
              </w:rPr>
              <w:t>במקום "ההיתר</w:t>
            </w:r>
            <w:r w:rsidRPr="004A0F33">
              <w:rPr>
                <w:rtl/>
              </w:rPr>
              <w:t xml:space="preserve"> </w:t>
            </w:r>
            <w:r w:rsidRPr="004A0F33">
              <w:rPr>
                <w:rFonts w:hint="cs"/>
                <w:rtl/>
              </w:rPr>
              <w:t>י</w:t>
            </w:r>
            <w:r w:rsidRPr="004A0F33">
              <w:rPr>
                <w:rtl/>
              </w:rPr>
              <w:t>היה לתקופה שתיקבע בו ושלא תעלה על שישה חודשים</w:t>
            </w:r>
            <w:r w:rsidRPr="004A0F33">
              <w:rPr>
                <w:rFonts w:hint="cs"/>
                <w:rtl/>
              </w:rPr>
              <w:t>"</w:t>
            </w:r>
            <w:r>
              <w:rPr>
                <w:rFonts w:hint="cs"/>
                <w:rtl/>
              </w:rPr>
              <w:t xml:space="preserve"> יבוא "ההסמכה</w:t>
            </w:r>
            <w:r w:rsidRPr="00C92689">
              <w:rPr>
                <w:rtl/>
              </w:rPr>
              <w:t xml:space="preserve"> </w:t>
            </w:r>
            <w:r>
              <w:rPr>
                <w:rFonts w:hint="cs"/>
                <w:rtl/>
              </w:rPr>
              <w:t>ת</w:t>
            </w:r>
            <w:r w:rsidRPr="00C92689">
              <w:rPr>
                <w:rtl/>
              </w:rPr>
              <w:t xml:space="preserve">היה לתקופת מילוי התפקיד, ולא </w:t>
            </w:r>
            <w:r>
              <w:rPr>
                <w:rFonts w:hint="cs"/>
                <w:rtl/>
              </w:rPr>
              <w:t>ת</w:t>
            </w:r>
            <w:r w:rsidRPr="00C92689">
              <w:rPr>
                <w:rtl/>
              </w:rPr>
              <w:t>עלה על 12 חודשים</w:t>
            </w:r>
            <w:r>
              <w:rPr>
                <w:rFonts w:hint="cs"/>
                <w:rtl/>
              </w:rPr>
              <w:t>";</w:t>
            </w:r>
          </w:p>
        </w:tc>
      </w:tr>
      <w:tr w:rsidR="00E24AF2" w14:paraId="58A965A9" w14:textId="77777777" w:rsidTr="00E24AF2">
        <w:trPr>
          <w:cantSplit/>
          <w:trHeight w:val="60"/>
        </w:trPr>
        <w:tc>
          <w:tcPr>
            <w:tcW w:w="1870" w:type="dxa"/>
          </w:tcPr>
          <w:p w14:paraId="7C0EDE43" w14:textId="77777777" w:rsidR="00E24AF2" w:rsidRDefault="00E24AF2">
            <w:pPr>
              <w:pStyle w:val="TableSideHeading"/>
            </w:pPr>
          </w:p>
        </w:tc>
        <w:tc>
          <w:tcPr>
            <w:tcW w:w="624" w:type="dxa"/>
          </w:tcPr>
          <w:p w14:paraId="6171ACA5" w14:textId="77777777" w:rsidR="00E24AF2" w:rsidRDefault="00E24AF2">
            <w:pPr>
              <w:pStyle w:val="TableText"/>
            </w:pPr>
          </w:p>
        </w:tc>
        <w:tc>
          <w:tcPr>
            <w:tcW w:w="624" w:type="dxa"/>
          </w:tcPr>
          <w:p w14:paraId="60F91CF7" w14:textId="1F4A7D2C" w:rsidR="00E24AF2" w:rsidRDefault="00E24AF2" w:rsidP="00F44C09">
            <w:pPr>
              <w:pStyle w:val="TableText"/>
              <w:numPr>
                <w:ilvl w:val="0"/>
                <w:numId w:val="31"/>
              </w:numPr>
            </w:pPr>
          </w:p>
        </w:tc>
        <w:tc>
          <w:tcPr>
            <w:tcW w:w="6523" w:type="dxa"/>
            <w:gridSpan w:val="6"/>
          </w:tcPr>
          <w:p w14:paraId="4FD92691" w14:textId="328E083B" w:rsidR="00E24AF2" w:rsidRDefault="00E24AF2">
            <w:pPr>
              <w:pStyle w:val="TableBlock"/>
            </w:pPr>
            <w:r>
              <w:rPr>
                <w:rFonts w:hint="cs"/>
                <w:rtl/>
              </w:rPr>
              <w:t xml:space="preserve">אחרי סעיף קטן (ג) יבוא סעיף קטן (ג1) </w:t>
            </w:r>
            <w:r>
              <w:rPr>
                <w:rtl/>
              </w:rPr>
              <w:t>–</w:t>
            </w:r>
            <w:r>
              <w:rPr>
                <w:rFonts w:hint="cs"/>
                <w:rtl/>
              </w:rPr>
              <w:t xml:space="preserve"> </w:t>
            </w:r>
          </w:p>
        </w:tc>
      </w:tr>
      <w:tr w:rsidR="004260B0" w14:paraId="7DBE0F8A" w14:textId="77777777" w:rsidTr="004260B0">
        <w:trPr>
          <w:cantSplit/>
          <w:trHeight w:val="60"/>
        </w:trPr>
        <w:tc>
          <w:tcPr>
            <w:tcW w:w="1870" w:type="dxa"/>
          </w:tcPr>
          <w:p w14:paraId="781F95BA" w14:textId="77777777" w:rsidR="004260B0" w:rsidRDefault="004260B0">
            <w:pPr>
              <w:pStyle w:val="TableSideHeading"/>
            </w:pPr>
          </w:p>
        </w:tc>
        <w:tc>
          <w:tcPr>
            <w:tcW w:w="624" w:type="dxa"/>
          </w:tcPr>
          <w:p w14:paraId="6EC0015F" w14:textId="77777777" w:rsidR="004260B0" w:rsidRDefault="004260B0">
            <w:pPr>
              <w:pStyle w:val="TableText"/>
            </w:pPr>
          </w:p>
        </w:tc>
        <w:tc>
          <w:tcPr>
            <w:tcW w:w="624" w:type="dxa"/>
          </w:tcPr>
          <w:p w14:paraId="57017CA4" w14:textId="77777777" w:rsidR="004260B0" w:rsidRDefault="004260B0">
            <w:pPr>
              <w:pStyle w:val="TableText"/>
            </w:pPr>
          </w:p>
        </w:tc>
        <w:tc>
          <w:tcPr>
            <w:tcW w:w="624" w:type="dxa"/>
          </w:tcPr>
          <w:p w14:paraId="6F178567" w14:textId="00A15329" w:rsidR="004260B0" w:rsidRDefault="004260B0">
            <w:pPr>
              <w:pStyle w:val="TableText"/>
            </w:pPr>
            <w:r>
              <w:rPr>
                <w:rFonts w:hint="cs"/>
                <w:rtl/>
              </w:rPr>
              <w:t>"(ג1)</w:t>
            </w:r>
          </w:p>
        </w:tc>
        <w:tc>
          <w:tcPr>
            <w:tcW w:w="5899" w:type="dxa"/>
            <w:gridSpan w:val="5"/>
          </w:tcPr>
          <w:p w14:paraId="7465BAD9" w14:textId="151D2B9F" w:rsidR="004260B0" w:rsidRDefault="004260B0">
            <w:pPr>
              <w:pStyle w:val="TableBlock"/>
            </w:pPr>
            <w:r w:rsidRPr="00C92689">
              <w:rPr>
                <w:rtl/>
              </w:rPr>
              <w:t>שימוש במידע שיועבר לשירות לפי סעיף קטן (ב1) ייעשה באופן שיצמצם את מידת הפגיעה בפרטיות, בין היתר לעניין אופן עיבוד המידע, אופן אגירת המידע ומתן הרשאות גישה למידע, התייחסות בעלי המקצוע המפורטים בסעיף 9א לחוק האזנת סתר,</w:t>
            </w:r>
            <w:r>
              <w:rPr>
                <w:rFonts w:hint="cs"/>
                <w:rtl/>
              </w:rPr>
              <w:t xml:space="preserve"> </w:t>
            </w:r>
            <w:r w:rsidRPr="00C92689">
              <w:rPr>
                <w:rtl/>
              </w:rPr>
              <w:t>ולעניין נתוני שימוש באינטרנט גם לעניין הנסיבות שיאפשרו עיבוד המידע באופן שאינו ממוכן, והכ</w:t>
            </w:r>
            <w:r>
              <w:rPr>
                <w:rtl/>
              </w:rPr>
              <w:t>ל כפי שייקבע בכללים</w:t>
            </w:r>
            <w:r>
              <w:rPr>
                <w:rFonts w:hint="cs"/>
                <w:rtl/>
              </w:rPr>
              <w:t>.".</w:t>
            </w:r>
          </w:p>
        </w:tc>
      </w:tr>
      <w:tr w:rsidR="00E24AF2" w14:paraId="09ED266A" w14:textId="77777777" w:rsidTr="00E24AF2">
        <w:trPr>
          <w:cantSplit/>
          <w:trHeight w:val="60"/>
        </w:trPr>
        <w:tc>
          <w:tcPr>
            <w:tcW w:w="1870" w:type="dxa"/>
          </w:tcPr>
          <w:p w14:paraId="4B4BE2DD" w14:textId="77777777" w:rsidR="00E24AF2" w:rsidRDefault="00E24AF2">
            <w:pPr>
              <w:pStyle w:val="TableSideHeading"/>
            </w:pPr>
          </w:p>
        </w:tc>
        <w:tc>
          <w:tcPr>
            <w:tcW w:w="624" w:type="dxa"/>
          </w:tcPr>
          <w:p w14:paraId="394B0C48" w14:textId="77777777" w:rsidR="00E24AF2" w:rsidRDefault="00E24AF2" w:rsidP="00E24AF2">
            <w:pPr>
              <w:pStyle w:val="TableText"/>
            </w:pPr>
          </w:p>
        </w:tc>
        <w:tc>
          <w:tcPr>
            <w:tcW w:w="624" w:type="dxa"/>
          </w:tcPr>
          <w:p w14:paraId="0F22F163" w14:textId="0E610631" w:rsidR="00E24AF2" w:rsidRDefault="00E24AF2" w:rsidP="00F44C09">
            <w:pPr>
              <w:pStyle w:val="TableText"/>
              <w:numPr>
                <w:ilvl w:val="0"/>
                <w:numId w:val="31"/>
              </w:numPr>
            </w:pPr>
          </w:p>
        </w:tc>
        <w:tc>
          <w:tcPr>
            <w:tcW w:w="6523" w:type="dxa"/>
            <w:gridSpan w:val="6"/>
          </w:tcPr>
          <w:p w14:paraId="4A932487" w14:textId="01FDE6EC" w:rsidR="00E24AF2" w:rsidRPr="00E24AF2" w:rsidRDefault="00E24AF2">
            <w:pPr>
              <w:pStyle w:val="TableBlock"/>
              <w:rPr>
                <w:rtl/>
              </w:rPr>
            </w:pPr>
            <w:r>
              <w:rPr>
                <w:rFonts w:hint="cs"/>
                <w:rtl/>
              </w:rPr>
              <w:t>במקום סעיף קטן (ד) יבוא</w:t>
            </w:r>
            <w:r w:rsidR="003E51E5">
              <w:rPr>
                <w:rFonts w:hint="cs"/>
                <w:rtl/>
              </w:rPr>
              <w:t>:</w:t>
            </w:r>
            <w:r>
              <w:rPr>
                <w:rFonts w:hint="cs"/>
                <w:rtl/>
              </w:rPr>
              <w:t xml:space="preserve"> </w:t>
            </w:r>
          </w:p>
        </w:tc>
      </w:tr>
      <w:tr w:rsidR="00E24AF2" w14:paraId="2715FC98" w14:textId="77777777" w:rsidTr="00E24AF2">
        <w:trPr>
          <w:cantSplit/>
          <w:trHeight w:val="60"/>
        </w:trPr>
        <w:tc>
          <w:tcPr>
            <w:tcW w:w="1870" w:type="dxa"/>
          </w:tcPr>
          <w:p w14:paraId="34E4FDBA" w14:textId="77777777" w:rsidR="00E24AF2" w:rsidRDefault="00E24AF2">
            <w:pPr>
              <w:pStyle w:val="TableSideHeading"/>
            </w:pPr>
          </w:p>
        </w:tc>
        <w:tc>
          <w:tcPr>
            <w:tcW w:w="624" w:type="dxa"/>
          </w:tcPr>
          <w:p w14:paraId="4FE69B5E" w14:textId="77777777" w:rsidR="00E24AF2" w:rsidRDefault="00E24AF2" w:rsidP="00E24AF2">
            <w:pPr>
              <w:pStyle w:val="TableText"/>
            </w:pPr>
          </w:p>
        </w:tc>
        <w:tc>
          <w:tcPr>
            <w:tcW w:w="624" w:type="dxa"/>
          </w:tcPr>
          <w:p w14:paraId="5CE333F9" w14:textId="77777777" w:rsidR="00E24AF2" w:rsidRDefault="00E24AF2" w:rsidP="00E24AF2">
            <w:pPr>
              <w:pStyle w:val="TableText"/>
            </w:pPr>
          </w:p>
        </w:tc>
        <w:tc>
          <w:tcPr>
            <w:tcW w:w="6523" w:type="dxa"/>
            <w:gridSpan w:val="6"/>
          </w:tcPr>
          <w:p w14:paraId="134DB499" w14:textId="0043A848" w:rsidR="00E24AF2" w:rsidRDefault="00E24AF2">
            <w:pPr>
              <w:pStyle w:val="TableBlock"/>
              <w:rPr>
                <w:rtl/>
              </w:rPr>
            </w:pPr>
            <w:r>
              <w:rPr>
                <w:rFonts w:hint="cs"/>
                <w:rtl/>
              </w:rPr>
              <w:t xml:space="preserve">"(ד) </w:t>
            </w:r>
            <w:r w:rsidRPr="0011218E">
              <w:rPr>
                <w:rtl/>
              </w:rPr>
              <w:t xml:space="preserve">ראש השירות ימסור לראש הממשלה וליועץ המשפטי לממשלה, אחת לשלושה חודשים, ולוועדת הכנסת לענייני השירות – אחת לשנה, דיווח שיכלול, בין השאר, פירוט בדבר הוראות שניתנו לספקים מורשים לפי סעיף קטן (ב1), סוגי המידע שהתקבלו לפי סעיף זה, תכליות השימוש בכל סוג מידע, אופן השימוש במידע, אירועים חריגים שהתרחשו במסגרת השימוש במידע, הערכה בדבר מידת התועלת של כל סוג מידע למימוש תפקידי השירות ומספר </w:t>
            </w:r>
            <w:proofErr w:type="spellStart"/>
            <w:r w:rsidRPr="0011218E">
              <w:rPr>
                <w:rtl/>
              </w:rPr>
              <w:t>ההסמכות</w:t>
            </w:r>
            <w:proofErr w:type="spellEnd"/>
            <w:r w:rsidRPr="0011218E">
              <w:rPr>
                <w:rtl/>
              </w:rPr>
              <w:t xml:space="preserve"> שניתנו לפי סעיף זה</w:t>
            </w:r>
            <w:r w:rsidRPr="0011218E">
              <w:rPr>
                <w:rFonts w:hint="cs"/>
                <w:rtl/>
              </w:rPr>
              <w:t>";</w:t>
            </w:r>
          </w:p>
        </w:tc>
      </w:tr>
      <w:tr w:rsidR="00E24AF2" w14:paraId="6983A20A" w14:textId="77777777" w:rsidTr="00E24AF2">
        <w:trPr>
          <w:cantSplit/>
          <w:trHeight w:val="60"/>
        </w:trPr>
        <w:tc>
          <w:tcPr>
            <w:tcW w:w="1870" w:type="dxa"/>
          </w:tcPr>
          <w:p w14:paraId="5CDDC4EA" w14:textId="77777777" w:rsidR="00E24AF2" w:rsidRDefault="00E24AF2">
            <w:pPr>
              <w:pStyle w:val="TableSideHeading"/>
            </w:pPr>
          </w:p>
        </w:tc>
        <w:tc>
          <w:tcPr>
            <w:tcW w:w="624" w:type="dxa"/>
          </w:tcPr>
          <w:p w14:paraId="42D83806" w14:textId="77777777" w:rsidR="00E24AF2" w:rsidRDefault="00E24AF2" w:rsidP="00E24AF2">
            <w:pPr>
              <w:pStyle w:val="TableText"/>
            </w:pPr>
          </w:p>
        </w:tc>
        <w:tc>
          <w:tcPr>
            <w:tcW w:w="624" w:type="dxa"/>
          </w:tcPr>
          <w:p w14:paraId="7BEA110C" w14:textId="5943B08C" w:rsidR="00E24AF2" w:rsidRDefault="00E24AF2" w:rsidP="00F44C09">
            <w:pPr>
              <w:pStyle w:val="TableText"/>
              <w:numPr>
                <w:ilvl w:val="0"/>
                <w:numId w:val="31"/>
              </w:numPr>
            </w:pPr>
          </w:p>
        </w:tc>
        <w:tc>
          <w:tcPr>
            <w:tcW w:w="6523" w:type="dxa"/>
            <w:gridSpan w:val="6"/>
          </w:tcPr>
          <w:p w14:paraId="5D9CF584" w14:textId="6A972058" w:rsidR="00E24AF2" w:rsidRPr="00E24AF2" w:rsidRDefault="00E24AF2">
            <w:pPr>
              <w:pStyle w:val="TableBlock"/>
              <w:rPr>
                <w:rtl/>
              </w:rPr>
            </w:pPr>
            <w:r>
              <w:rPr>
                <w:rFonts w:hint="cs"/>
                <w:rtl/>
              </w:rPr>
              <w:t>במקום סעיף קטן (ה) יבוא</w:t>
            </w:r>
            <w:r w:rsidR="003E51E5">
              <w:rPr>
                <w:rFonts w:hint="cs"/>
                <w:rtl/>
              </w:rPr>
              <w:t>:</w:t>
            </w:r>
            <w:r>
              <w:rPr>
                <w:rFonts w:hint="cs"/>
                <w:rtl/>
              </w:rPr>
              <w:t xml:space="preserve"> </w:t>
            </w:r>
          </w:p>
        </w:tc>
      </w:tr>
      <w:tr w:rsidR="00E24AF2" w14:paraId="320A81F4" w14:textId="77777777" w:rsidTr="00E24AF2">
        <w:trPr>
          <w:cantSplit/>
          <w:trHeight w:val="60"/>
        </w:trPr>
        <w:tc>
          <w:tcPr>
            <w:tcW w:w="1870" w:type="dxa"/>
          </w:tcPr>
          <w:p w14:paraId="71E0558B" w14:textId="77777777" w:rsidR="00E24AF2" w:rsidRDefault="00E24AF2">
            <w:pPr>
              <w:pStyle w:val="TableSideHeading"/>
            </w:pPr>
          </w:p>
        </w:tc>
        <w:tc>
          <w:tcPr>
            <w:tcW w:w="624" w:type="dxa"/>
          </w:tcPr>
          <w:p w14:paraId="463E9B06" w14:textId="77777777" w:rsidR="00E24AF2" w:rsidRDefault="00E24AF2" w:rsidP="00E24AF2">
            <w:pPr>
              <w:pStyle w:val="TableText"/>
            </w:pPr>
          </w:p>
        </w:tc>
        <w:tc>
          <w:tcPr>
            <w:tcW w:w="624" w:type="dxa"/>
          </w:tcPr>
          <w:p w14:paraId="6ACE13D0" w14:textId="77777777" w:rsidR="00E24AF2" w:rsidRDefault="00E24AF2" w:rsidP="00E24AF2">
            <w:pPr>
              <w:pStyle w:val="TableText"/>
            </w:pPr>
          </w:p>
        </w:tc>
        <w:tc>
          <w:tcPr>
            <w:tcW w:w="6523" w:type="dxa"/>
            <w:gridSpan w:val="6"/>
          </w:tcPr>
          <w:p w14:paraId="7EDAFC35" w14:textId="4C6377AB" w:rsidR="00E24AF2" w:rsidRPr="00E24AF2" w:rsidRDefault="00E24AF2">
            <w:pPr>
              <w:pStyle w:val="TableBlock"/>
              <w:rPr>
                <w:rtl/>
              </w:rPr>
            </w:pPr>
            <w:r>
              <w:rPr>
                <w:rFonts w:hint="cs"/>
                <w:rtl/>
              </w:rPr>
              <w:t xml:space="preserve">"(ה) </w:t>
            </w:r>
            <w:r w:rsidRPr="0011218E">
              <w:rPr>
                <w:rtl/>
              </w:rPr>
              <w:t>במילוי הוראה לפי סעיף זה יחולו הוראות סעיף 13(ה) לחוק התקשורת</w:t>
            </w:r>
            <w:r>
              <w:rPr>
                <w:rFonts w:hint="cs"/>
                <w:rtl/>
              </w:rPr>
              <w:t>.".</w:t>
            </w:r>
          </w:p>
        </w:tc>
      </w:tr>
      <w:tr w:rsidR="00E24AF2" w14:paraId="188A93E2" w14:textId="77777777" w:rsidTr="00E24AF2">
        <w:trPr>
          <w:cantSplit/>
          <w:trHeight w:val="60"/>
        </w:trPr>
        <w:tc>
          <w:tcPr>
            <w:tcW w:w="1870" w:type="dxa"/>
          </w:tcPr>
          <w:p w14:paraId="1618DAF2" w14:textId="77777777" w:rsidR="00E24AF2" w:rsidRDefault="00E24AF2">
            <w:pPr>
              <w:pStyle w:val="TableSideHeading"/>
            </w:pPr>
          </w:p>
        </w:tc>
        <w:tc>
          <w:tcPr>
            <w:tcW w:w="624" w:type="dxa"/>
          </w:tcPr>
          <w:p w14:paraId="52942CD6" w14:textId="77777777" w:rsidR="00E24AF2" w:rsidRDefault="00E24AF2" w:rsidP="00E24AF2">
            <w:pPr>
              <w:pStyle w:val="TableText"/>
            </w:pPr>
          </w:p>
        </w:tc>
        <w:tc>
          <w:tcPr>
            <w:tcW w:w="624" w:type="dxa"/>
          </w:tcPr>
          <w:p w14:paraId="1988ED0E" w14:textId="409A772A" w:rsidR="00E24AF2" w:rsidRDefault="00E24AF2" w:rsidP="00F44C09">
            <w:pPr>
              <w:pStyle w:val="TableText"/>
              <w:numPr>
                <w:ilvl w:val="0"/>
                <w:numId w:val="31"/>
              </w:numPr>
            </w:pPr>
          </w:p>
        </w:tc>
        <w:tc>
          <w:tcPr>
            <w:tcW w:w="6523" w:type="dxa"/>
            <w:gridSpan w:val="6"/>
          </w:tcPr>
          <w:p w14:paraId="34FAE75C" w14:textId="21D3C8E8" w:rsidR="00E24AF2" w:rsidRDefault="00E24AF2">
            <w:pPr>
              <w:pStyle w:val="TableBlock"/>
              <w:rPr>
                <w:rtl/>
              </w:rPr>
            </w:pPr>
            <w:r>
              <w:rPr>
                <w:rFonts w:hint="cs"/>
                <w:rtl/>
              </w:rPr>
              <w:t>אחרי סעיף קטן (ה) יבוא</w:t>
            </w:r>
            <w:r w:rsidR="003E51E5">
              <w:rPr>
                <w:rFonts w:hint="cs"/>
                <w:rtl/>
              </w:rPr>
              <w:t>:</w:t>
            </w:r>
          </w:p>
        </w:tc>
      </w:tr>
      <w:tr w:rsidR="00E24AF2" w14:paraId="66D73759" w14:textId="77777777" w:rsidTr="00E24AF2">
        <w:trPr>
          <w:cantSplit/>
          <w:trHeight w:val="60"/>
        </w:trPr>
        <w:tc>
          <w:tcPr>
            <w:tcW w:w="1870" w:type="dxa"/>
          </w:tcPr>
          <w:p w14:paraId="56975C47" w14:textId="77777777" w:rsidR="00E24AF2" w:rsidRDefault="00E24AF2">
            <w:pPr>
              <w:pStyle w:val="TableSideHeading"/>
            </w:pPr>
          </w:p>
        </w:tc>
        <w:tc>
          <w:tcPr>
            <w:tcW w:w="624" w:type="dxa"/>
          </w:tcPr>
          <w:p w14:paraId="07BC02A9" w14:textId="77777777" w:rsidR="00E24AF2" w:rsidRDefault="00E24AF2">
            <w:pPr>
              <w:pStyle w:val="TableText"/>
            </w:pPr>
          </w:p>
        </w:tc>
        <w:tc>
          <w:tcPr>
            <w:tcW w:w="624" w:type="dxa"/>
          </w:tcPr>
          <w:p w14:paraId="52BED254" w14:textId="77777777" w:rsidR="00E24AF2" w:rsidRDefault="00E24AF2">
            <w:pPr>
              <w:pStyle w:val="TableText"/>
            </w:pPr>
          </w:p>
        </w:tc>
        <w:tc>
          <w:tcPr>
            <w:tcW w:w="624" w:type="dxa"/>
          </w:tcPr>
          <w:p w14:paraId="7D97BE8C" w14:textId="0ACA0DC3" w:rsidR="00E24AF2" w:rsidRDefault="004260B0" w:rsidP="004260B0">
            <w:pPr>
              <w:pStyle w:val="TableText"/>
            </w:pPr>
            <w:r>
              <w:rPr>
                <w:rFonts w:hint="cs"/>
                <w:rtl/>
              </w:rPr>
              <w:t>"(ו)</w:t>
            </w:r>
          </w:p>
        </w:tc>
        <w:tc>
          <w:tcPr>
            <w:tcW w:w="5899" w:type="dxa"/>
            <w:gridSpan w:val="5"/>
          </w:tcPr>
          <w:p w14:paraId="4175FF7D" w14:textId="1B1F2C62" w:rsidR="00E24AF2" w:rsidRDefault="00E24AF2">
            <w:pPr>
              <w:pStyle w:val="TableBlock"/>
            </w:pPr>
            <w:r w:rsidRPr="0011218E">
              <w:rPr>
                <w:rtl/>
              </w:rPr>
              <w:t>לא יעשה שימוש במידע המתקבל לפי סעיף זה אלא לצורך מילוי תפקידי השירות מכוח החוק ובהתאם לתקנות ולכללים מכוחו</w:t>
            </w:r>
            <w:r>
              <w:rPr>
                <w:rFonts w:hint="cs"/>
                <w:rtl/>
              </w:rPr>
              <w:t>.".</w:t>
            </w:r>
          </w:p>
        </w:tc>
      </w:tr>
      <w:tr w:rsidR="00E24AF2" w14:paraId="56255E46" w14:textId="77777777" w:rsidTr="00E24AF2">
        <w:trPr>
          <w:cantSplit/>
          <w:trHeight w:val="60"/>
        </w:trPr>
        <w:tc>
          <w:tcPr>
            <w:tcW w:w="1870" w:type="dxa"/>
          </w:tcPr>
          <w:p w14:paraId="444525C6" w14:textId="77777777" w:rsidR="00E24AF2" w:rsidRDefault="00E24AF2">
            <w:pPr>
              <w:pStyle w:val="TableSideHeading"/>
            </w:pPr>
          </w:p>
        </w:tc>
        <w:tc>
          <w:tcPr>
            <w:tcW w:w="624" w:type="dxa"/>
          </w:tcPr>
          <w:p w14:paraId="2BC6FEA3" w14:textId="77777777" w:rsidR="00E24AF2" w:rsidRDefault="00E24AF2" w:rsidP="00E24AF2">
            <w:pPr>
              <w:pStyle w:val="TableText"/>
            </w:pPr>
          </w:p>
        </w:tc>
        <w:tc>
          <w:tcPr>
            <w:tcW w:w="624" w:type="dxa"/>
          </w:tcPr>
          <w:p w14:paraId="0C2387AA" w14:textId="77777777" w:rsidR="00E24AF2" w:rsidRDefault="00E24AF2">
            <w:pPr>
              <w:pStyle w:val="TableText"/>
            </w:pPr>
          </w:p>
        </w:tc>
        <w:tc>
          <w:tcPr>
            <w:tcW w:w="624" w:type="dxa"/>
          </w:tcPr>
          <w:p w14:paraId="4A182D12" w14:textId="77777777" w:rsidR="00E24AF2" w:rsidRDefault="00E24AF2" w:rsidP="00F44C09">
            <w:pPr>
              <w:pStyle w:val="TableText"/>
              <w:numPr>
                <w:ilvl w:val="0"/>
                <w:numId w:val="23"/>
              </w:numPr>
            </w:pPr>
          </w:p>
        </w:tc>
        <w:tc>
          <w:tcPr>
            <w:tcW w:w="5899" w:type="dxa"/>
            <w:gridSpan w:val="5"/>
          </w:tcPr>
          <w:p w14:paraId="1C85DABE" w14:textId="41F659B7" w:rsidR="00E24AF2" w:rsidRPr="00E24AF2" w:rsidRDefault="00E24AF2">
            <w:pPr>
              <w:pStyle w:val="TableBlock"/>
              <w:rPr>
                <w:rtl/>
              </w:rPr>
            </w:pPr>
            <w:r>
              <w:rPr>
                <w:rFonts w:hint="cs"/>
                <w:rtl/>
              </w:rPr>
              <w:t>"</w:t>
            </w:r>
            <w:r w:rsidRPr="00DE6CAF">
              <w:rPr>
                <w:rFonts w:hint="cs"/>
                <w:rtl/>
              </w:rPr>
              <w:t>אין בסעיף זה כדי לגרוע מסמכויות השירות לקבל או לאסוף נתוני תקשורת מכוח סמכות אחרת על פי דין</w:t>
            </w:r>
            <w:r>
              <w:rPr>
                <w:rFonts w:hint="cs"/>
                <w:rtl/>
              </w:rPr>
              <w:t>.".</w:t>
            </w:r>
          </w:p>
        </w:tc>
      </w:tr>
      <w:tr w:rsidR="00E24AF2" w14:paraId="560D45A3" w14:textId="77777777" w:rsidTr="00E24AF2">
        <w:trPr>
          <w:cantSplit/>
          <w:trHeight w:val="60"/>
        </w:trPr>
        <w:tc>
          <w:tcPr>
            <w:tcW w:w="1870" w:type="dxa"/>
          </w:tcPr>
          <w:p w14:paraId="22DCA1C4" w14:textId="73A59D80" w:rsidR="00E24AF2" w:rsidRDefault="00E24AF2" w:rsidP="007E751D">
            <w:pPr>
              <w:pStyle w:val="TableSideHeading"/>
              <w:keepLines w:val="0"/>
            </w:pPr>
            <w:r>
              <w:rPr>
                <w:rFonts w:hint="cs"/>
                <w:rtl/>
              </w:rPr>
              <w:t>הוספת סעיף 11א</w:t>
            </w:r>
          </w:p>
        </w:tc>
        <w:tc>
          <w:tcPr>
            <w:tcW w:w="624" w:type="dxa"/>
          </w:tcPr>
          <w:p w14:paraId="05369F58" w14:textId="3423608A" w:rsidR="00E24AF2" w:rsidRDefault="00E24AF2" w:rsidP="00E24AF2">
            <w:pPr>
              <w:pStyle w:val="TableText"/>
              <w:keepLines w:val="0"/>
              <w:tabs>
                <w:tab w:val="clear" w:pos="624"/>
              </w:tabs>
            </w:pPr>
            <w:r>
              <w:rPr>
                <w:rFonts w:hint="cs"/>
                <w:rtl/>
              </w:rPr>
              <w:t>10.</w:t>
            </w:r>
          </w:p>
        </w:tc>
        <w:tc>
          <w:tcPr>
            <w:tcW w:w="7147" w:type="dxa"/>
            <w:gridSpan w:val="7"/>
          </w:tcPr>
          <w:p w14:paraId="1B8B9CDB" w14:textId="6BDABF73" w:rsidR="00E24AF2" w:rsidRPr="00C34DE2" w:rsidRDefault="00E24AF2" w:rsidP="007E751D">
            <w:pPr>
              <w:pStyle w:val="TableBlock"/>
              <w:keepLines w:val="0"/>
            </w:pPr>
            <w:r>
              <w:rPr>
                <w:rFonts w:hint="cs"/>
                <w:rtl/>
              </w:rPr>
              <w:t>אחרי סעיף 11 המתוקן יבוא</w:t>
            </w:r>
            <w:r w:rsidR="003E51E5">
              <w:rPr>
                <w:rFonts w:hint="cs"/>
                <w:rtl/>
              </w:rPr>
              <w:t>:</w:t>
            </w:r>
            <w:r>
              <w:rPr>
                <w:rFonts w:hint="cs"/>
                <w:rtl/>
              </w:rPr>
              <w:t xml:space="preserve"> </w:t>
            </w:r>
          </w:p>
        </w:tc>
      </w:tr>
      <w:tr w:rsidR="00E24AF2" w14:paraId="0D92C7CF" w14:textId="77777777" w:rsidTr="00E24AF2">
        <w:trPr>
          <w:cantSplit/>
          <w:trHeight w:val="60"/>
        </w:trPr>
        <w:tc>
          <w:tcPr>
            <w:tcW w:w="1870" w:type="dxa"/>
          </w:tcPr>
          <w:p w14:paraId="4CDDBB5B" w14:textId="77777777" w:rsidR="00E24AF2" w:rsidRDefault="00E24AF2">
            <w:pPr>
              <w:pStyle w:val="TableSideHeading"/>
            </w:pPr>
          </w:p>
        </w:tc>
        <w:tc>
          <w:tcPr>
            <w:tcW w:w="624" w:type="dxa"/>
          </w:tcPr>
          <w:p w14:paraId="71696527" w14:textId="77777777" w:rsidR="00E24AF2" w:rsidRDefault="00E24AF2">
            <w:pPr>
              <w:pStyle w:val="TableText"/>
            </w:pPr>
          </w:p>
        </w:tc>
        <w:tc>
          <w:tcPr>
            <w:tcW w:w="1872" w:type="dxa"/>
            <w:gridSpan w:val="3"/>
          </w:tcPr>
          <w:p w14:paraId="7745D4EA" w14:textId="74E9E3EE" w:rsidR="00E24AF2" w:rsidRDefault="00E24AF2">
            <w:pPr>
              <w:pStyle w:val="TableText"/>
            </w:pPr>
            <w:r>
              <w:rPr>
                <w:rFonts w:hint="cs"/>
                <w:rtl/>
              </w:rPr>
              <w:t>"סמכות נוספת לעניין מידע או סוגי מידע"</w:t>
            </w:r>
          </w:p>
        </w:tc>
        <w:tc>
          <w:tcPr>
            <w:tcW w:w="624" w:type="dxa"/>
          </w:tcPr>
          <w:p w14:paraId="4D061835" w14:textId="5549E8E7" w:rsidR="00E24AF2" w:rsidRPr="00E24AF2" w:rsidRDefault="00E24AF2">
            <w:pPr>
              <w:pStyle w:val="TableText"/>
            </w:pPr>
            <w:r>
              <w:rPr>
                <w:rFonts w:hint="cs"/>
                <w:rtl/>
              </w:rPr>
              <w:t>11א</w:t>
            </w:r>
          </w:p>
        </w:tc>
        <w:tc>
          <w:tcPr>
            <w:tcW w:w="624" w:type="dxa"/>
          </w:tcPr>
          <w:p w14:paraId="7DDB8530" w14:textId="77777777" w:rsidR="00E24AF2" w:rsidRDefault="00E24AF2" w:rsidP="00F44C09">
            <w:pPr>
              <w:pStyle w:val="TableText"/>
              <w:numPr>
                <w:ilvl w:val="0"/>
                <w:numId w:val="24"/>
              </w:numPr>
              <w:tabs>
                <w:tab w:val="left" w:pos="624"/>
              </w:tabs>
              <w:jc w:val="both"/>
            </w:pPr>
          </w:p>
        </w:tc>
        <w:tc>
          <w:tcPr>
            <w:tcW w:w="4027" w:type="dxa"/>
            <w:gridSpan w:val="2"/>
          </w:tcPr>
          <w:p w14:paraId="69917DC4" w14:textId="294DD914" w:rsidR="00E24AF2" w:rsidRDefault="00E24AF2">
            <w:pPr>
              <w:pStyle w:val="TableBlock"/>
            </w:pPr>
            <w:r w:rsidRPr="002559F6">
              <w:rPr>
                <w:rFonts w:hint="cs"/>
                <w:rtl/>
              </w:rPr>
              <w:t xml:space="preserve">התעורר </w:t>
            </w:r>
            <w:r w:rsidRPr="002559F6">
              <w:rPr>
                <w:rtl/>
              </w:rPr>
              <w:t>צורך ח</w:t>
            </w:r>
            <w:r w:rsidRPr="002559F6">
              <w:rPr>
                <w:rFonts w:hint="eastAsia"/>
                <w:rtl/>
              </w:rPr>
              <w:t>יוני</w:t>
            </w:r>
            <w:r w:rsidRPr="002559F6">
              <w:rPr>
                <w:rtl/>
              </w:rPr>
              <w:t xml:space="preserve"> בהפעלת סמכות לעניין מידע או סוגי מידע לשם מניעת עבירות בתחומים המפורטים בסעיפים 7(ב)(1), (2) או (6) לחוק, </w:t>
            </w:r>
            <w:r w:rsidRPr="002559F6">
              <w:rPr>
                <w:rFonts w:hint="eastAsia"/>
                <w:rtl/>
              </w:rPr>
              <w:t>ו</w:t>
            </w:r>
            <w:r w:rsidRPr="002559F6">
              <w:rPr>
                <w:rFonts w:hint="cs"/>
                <w:rtl/>
              </w:rPr>
              <w:t>נמצא כי אין בסעיפים 11-8 לחוק כדי לתת לו מענה</w:t>
            </w:r>
            <w:r w:rsidRPr="002559F6">
              <w:rPr>
                <w:rtl/>
              </w:rPr>
              <w:t xml:space="preserve">, רשאית ועדת השרים לענייני השירות, באישור ועדת הכנסת לענייני השירות, </w:t>
            </w:r>
            <w:r w:rsidRPr="002559F6">
              <w:rPr>
                <w:rFonts w:hint="cs"/>
                <w:rtl/>
              </w:rPr>
              <w:t>להקנות לשירות סמכות כאמור,</w:t>
            </w:r>
            <w:r w:rsidRPr="002559F6">
              <w:rPr>
                <w:rtl/>
              </w:rPr>
              <w:t xml:space="preserve"> למשך שנה או עד לעיגון הסמכות בח</w:t>
            </w:r>
            <w:r w:rsidRPr="002559F6">
              <w:rPr>
                <w:rFonts w:hint="eastAsia"/>
                <w:rtl/>
              </w:rPr>
              <w:t>וק</w:t>
            </w:r>
            <w:r w:rsidRPr="002559F6">
              <w:rPr>
                <w:rtl/>
              </w:rPr>
              <w:t xml:space="preserve">, לפי המוקדם </w:t>
            </w:r>
            <w:proofErr w:type="spellStart"/>
            <w:r w:rsidRPr="002559F6">
              <w:rPr>
                <w:rtl/>
              </w:rPr>
              <w:t>מביניהם</w:t>
            </w:r>
            <w:proofErr w:type="spellEnd"/>
            <w:r w:rsidRPr="002559F6">
              <w:rPr>
                <w:rFonts w:hint="cs"/>
                <w:rtl/>
              </w:rPr>
              <w:t xml:space="preserve">, </w:t>
            </w:r>
            <w:r w:rsidRPr="002559F6">
              <w:rPr>
                <w:rFonts w:hint="eastAsia"/>
                <w:rtl/>
              </w:rPr>
              <w:t>לאחר</w:t>
            </w:r>
            <w:r w:rsidRPr="002559F6">
              <w:rPr>
                <w:rtl/>
              </w:rPr>
              <w:t xml:space="preserve"> </w:t>
            </w:r>
            <w:r w:rsidRPr="002559F6">
              <w:rPr>
                <w:rFonts w:hint="eastAsia"/>
                <w:rtl/>
              </w:rPr>
              <w:t>שהשתכנעה</w:t>
            </w:r>
            <w:r w:rsidRPr="002559F6">
              <w:rPr>
                <w:rtl/>
              </w:rPr>
              <w:t xml:space="preserve"> </w:t>
            </w:r>
            <w:r w:rsidRPr="002559F6">
              <w:rPr>
                <w:rFonts w:hint="eastAsia"/>
                <w:rtl/>
              </w:rPr>
              <w:t>כי</w:t>
            </w:r>
            <w:r w:rsidRPr="002559F6">
              <w:rPr>
                <w:rtl/>
              </w:rPr>
              <w:t xml:space="preserve"> </w:t>
            </w:r>
            <w:r w:rsidRPr="002559F6">
              <w:rPr>
                <w:rFonts w:hint="eastAsia"/>
                <w:rtl/>
              </w:rPr>
              <w:t>התעוררו</w:t>
            </w:r>
            <w:r w:rsidRPr="002559F6">
              <w:rPr>
                <w:rtl/>
              </w:rPr>
              <w:t xml:space="preserve"> </w:t>
            </w:r>
            <w:r w:rsidRPr="002559F6">
              <w:rPr>
                <w:rFonts w:hint="eastAsia"/>
                <w:rtl/>
              </w:rPr>
              <w:t>נסיבות</w:t>
            </w:r>
            <w:r w:rsidRPr="002559F6">
              <w:rPr>
                <w:rtl/>
              </w:rPr>
              <w:t xml:space="preserve"> </w:t>
            </w:r>
            <w:r w:rsidRPr="002559F6">
              <w:rPr>
                <w:rFonts w:hint="eastAsia"/>
                <w:rtl/>
              </w:rPr>
              <w:t>חדשות</w:t>
            </w:r>
            <w:r w:rsidRPr="002559F6">
              <w:rPr>
                <w:rtl/>
              </w:rPr>
              <w:t xml:space="preserve"> המצדיקות זאת</w:t>
            </w:r>
            <w:r w:rsidRPr="002559F6">
              <w:rPr>
                <w:rFonts w:hint="cs"/>
                <w:rtl/>
              </w:rPr>
              <w:t>.</w:t>
            </w:r>
            <w:r w:rsidRPr="002559F6">
              <w:rPr>
                <w:rtl/>
              </w:rPr>
              <w:t xml:space="preserve"> </w:t>
            </w:r>
            <w:r w:rsidRPr="002559F6">
              <w:rPr>
                <w:rFonts w:hint="eastAsia"/>
                <w:rtl/>
              </w:rPr>
              <w:t>ועדת</w:t>
            </w:r>
            <w:r w:rsidRPr="002559F6">
              <w:rPr>
                <w:rtl/>
              </w:rPr>
              <w:t xml:space="preserve"> השרים, באישור ועדת </w:t>
            </w:r>
            <w:r w:rsidRPr="002559F6">
              <w:rPr>
                <w:rFonts w:hint="eastAsia"/>
                <w:rtl/>
              </w:rPr>
              <w:t>הכנסת</w:t>
            </w:r>
            <w:r w:rsidRPr="002559F6">
              <w:rPr>
                <w:rtl/>
              </w:rPr>
              <w:t xml:space="preserve"> </w:t>
            </w:r>
            <w:r w:rsidRPr="002559F6">
              <w:rPr>
                <w:rFonts w:hint="eastAsia"/>
                <w:rtl/>
              </w:rPr>
              <w:t>לענייני</w:t>
            </w:r>
            <w:r w:rsidRPr="002559F6">
              <w:rPr>
                <w:rtl/>
              </w:rPr>
              <w:t xml:space="preserve"> </w:t>
            </w:r>
            <w:r w:rsidRPr="002559F6">
              <w:rPr>
                <w:rFonts w:hint="eastAsia"/>
                <w:rtl/>
              </w:rPr>
              <w:t>השירות</w:t>
            </w:r>
            <w:r w:rsidRPr="002559F6">
              <w:rPr>
                <w:rtl/>
              </w:rPr>
              <w:t xml:space="preserve"> רשאית לאשר את </w:t>
            </w:r>
            <w:r w:rsidRPr="002559F6">
              <w:rPr>
                <w:rFonts w:hint="cs"/>
                <w:rtl/>
              </w:rPr>
              <w:t>הארכת הקניית</w:t>
            </w:r>
            <w:r w:rsidRPr="002559F6">
              <w:rPr>
                <w:rtl/>
              </w:rPr>
              <w:t xml:space="preserve"> הסמכות למשך תקופה נוספת של </w:t>
            </w:r>
            <w:r w:rsidRPr="002559F6">
              <w:rPr>
                <w:rFonts w:hint="eastAsia"/>
                <w:rtl/>
              </w:rPr>
              <w:t>שנה</w:t>
            </w:r>
            <w:r w:rsidRPr="002559F6">
              <w:rPr>
                <w:rtl/>
              </w:rPr>
              <w:t>.</w:t>
            </w:r>
          </w:p>
        </w:tc>
      </w:tr>
      <w:tr w:rsidR="00E24AF2" w14:paraId="1CF685A7" w14:textId="77777777" w:rsidTr="00E24AF2">
        <w:trPr>
          <w:cantSplit/>
          <w:trHeight w:val="60"/>
        </w:trPr>
        <w:tc>
          <w:tcPr>
            <w:tcW w:w="1870" w:type="dxa"/>
          </w:tcPr>
          <w:p w14:paraId="0DF27339" w14:textId="77777777" w:rsidR="00E24AF2" w:rsidRDefault="00E24AF2">
            <w:pPr>
              <w:pStyle w:val="TableSideHeading"/>
            </w:pPr>
          </w:p>
        </w:tc>
        <w:tc>
          <w:tcPr>
            <w:tcW w:w="624" w:type="dxa"/>
          </w:tcPr>
          <w:p w14:paraId="293B0389" w14:textId="77777777" w:rsidR="00E24AF2" w:rsidRDefault="00E24AF2" w:rsidP="00E24AF2">
            <w:pPr>
              <w:pStyle w:val="TableText"/>
            </w:pPr>
          </w:p>
        </w:tc>
        <w:tc>
          <w:tcPr>
            <w:tcW w:w="1872" w:type="dxa"/>
            <w:gridSpan w:val="3"/>
          </w:tcPr>
          <w:p w14:paraId="58037097" w14:textId="77777777" w:rsidR="00E24AF2" w:rsidRDefault="00E24AF2">
            <w:pPr>
              <w:pStyle w:val="TableText"/>
              <w:rPr>
                <w:rtl/>
              </w:rPr>
            </w:pPr>
          </w:p>
        </w:tc>
        <w:tc>
          <w:tcPr>
            <w:tcW w:w="624" w:type="dxa"/>
          </w:tcPr>
          <w:p w14:paraId="1703382F" w14:textId="77777777" w:rsidR="00E24AF2" w:rsidRDefault="00E24AF2">
            <w:pPr>
              <w:pStyle w:val="TableText"/>
              <w:rPr>
                <w:rtl/>
              </w:rPr>
            </w:pPr>
          </w:p>
        </w:tc>
        <w:tc>
          <w:tcPr>
            <w:tcW w:w="624" w:type="dxa"/>
          </w:tcPr>
          <w:p w14:paraId="718F290E" w14:textId="77777777" w:rsidR="00E24AF2" w:rsidRDefault="00E24AF2" w:rsidP="00F44C09">
            <w:pPr>
              <w:pStyle w:val="TableText"/>
              <w:numPr>
                <w:ilvl w:val="0"/>
                <w:numId w:val="24"/>
              </w:numPr>
              <w:tabs>
                <w:tab w:val="left" w:pos="624"/>
              </w:tabs>
              <w:jc w:val="both"/>
            </w:pPr>
          </w:p>
        </w:tc>
        <w:tc>
          <w:tcPr>
            <w:tcW w:w="4027" w:type="dxa"/>
            <w:gridSpan w:val="2"/>
          </w:tcPr>
          <w:p w14:paraId="1C26F0F4" w14:textId="7C450E85" w:rsidR="00E24AF2" w:rsidRPr="00E24AF2" w:rsidRDefault="00E24AF2" w:rsidP="00E24AF2">
            <w:pPr>
              <w:pStyle w:val="TableBlock"/>
              <w:rPr>
                <w:rtl/>
              </w:rPr>
            </w:pPr>
            <w:r w:rsidRPr="002559F6">
              <w:rPr>
                <w:rFonts w:hint="cs"/>
                <w:rtl/>
              </w:rPr>
              <w:t>ראש השירות ימסור לראש הממשלה, לוועדת הכנסת לענייני השירות וליוע</w:t>
            </w:r>
            <w:r w:rsidR="00817293">
              <w:rPr>
                <w:rFonts w:hint="cs"/>
                <w:rtl/>
              </w:rPr>
              <w:t>ץ</w:t>
            </w:r>
            <w:r w:rsidRPr="002559F6">
              <w:rPr>
                <w:rFonts w:hint="cs"/>
                <w:rtl/>
              </w:rPr>
              <w:t xml:space="preserve"> המשפטי לממשלה </w:t>
            </w:r>
            <w:r w:rsidRPr="002559F6">
              <w:rPr>
                <w:rtl/>
              </w:rPr>
              <w:t>–</w:t>
            </w:r>
            <w:r w:rsidRPr="002559F6">
              <w:rPr>
                <w:rFonts w:hint="cs"/>
                <w:rtl/>
              </w:rPr>
              <w:t xml:space="preserve"> אחת לשישה חודשים, דיווח על</w:t>
            </w:r>
            <w:r w:rsidRPr="002559F6">
              <w:rPr>
                <w:rtl/>
              </w:rPr>
              <w:t xml:space="preserve"> אופן הפעלת הסמכות כאמור; הדיווח יכלול פרטים אודות המידע או סוג המידע שלגביו הופעלה הסמכות, השימוש שהשירות עשה בו לצורך מילוי תפקידיו </w:t>
            </w:r>
            <w:r w:rsidRPr="002559F6">
              <w:rPr>
                <w:rFonts w:hint="cs"/>
                <w:rtl/>
              </w:rPr>
              <w:t>ו</w:t>
            </w:r>
            <w:r w:rsidRPr="002559F6">
              <w:rPr>
                <w:rtl/>
              </w:rPr>
              <w:t>הערכה בדבר מידת התועלת של המידע או סוג המידע למימוש תפקידי השירות</w:t>
            </w:r>
            <w:r w:rsidRPr="002559F6">
              <w:rPr>
                <w:rFonts w:hint="cs"/>
                <w:rtl/>
              </w:rPr>
              <w:t>.</w:t>
            </w:r>
            <w:r>
              <w:rPr>
                <w:rFonts w:hint="cs"/>
                <w:rtl/>
              </w:rPr>
              <w:t>".</w:t>
            </w:r>
          </w:p>
        </w:tc>
      </w:tr>
      <w:tr w:rsidR="00E24AF2" w14:paraId="151B5912" w14:textId="77777777" w:rsidTr="00E24AF2">
        <w:trPr>
          <w:cantSplit/>
          <w:trHeight w:val="60"/>
        </w:trPr>
        <w:tc>
          <w:tcPr>
            <w:tcW w:w="1870" w:type="dxa"/>
          </w:tcPr>
          <w:p w14:paraId="775F0CFE" w14:textId="79C6BBDA" w:rsidR="00E24AF2" w:rsidRDefault="00E24AF2" w:rsidP="007E751D">
            <w:pPr>
              <w:pStyle w:val="TableSideHeading"/>
              <w:keepLines w:val="0"/>
            </w:pPr>
            <w:r>
              <w:rPr>
                <w:rFonts w:hint="cs"/>
                <w:rtl/>
              </w:rPr>
              <w:t>הוספת סעיף 11ב</w:t>
            </w:r>
          </w:p>
        </w:tc>
        <w:tc>
          <w:tcPr>
            <w:tcW w:w="624" w:type="dxa"/>
          </w:tcPr>
          <w:p w14:paraId="1482703A" w14:textId="675CD308" w:rsidR="00E24AF2" w:rsidRDefault="00E24AF2" w:rsidP="00E24AF2">
            <w:pPr>
              <w:pStyle w:val="TableText"/>
              <w:keepLines w:val="0"/>
              <w:tabs>
                <w:tab w:val="clear" w:pos="624"/>
              </w:tabs>
            </w:pPr>
            <w:r>
              <w:rPr>
                <w:rFonts w:hint="cs"/>
                <w:rtl/>
              </w:rPr>
              <w:t xml:space="preserve">11. </w:t>
            </w:r>
          </w:p>
        </w:tc>
        <w:tc>
          <w:tcPr>
            <w:tcW w:w="7147" w:type="dxa"/>
            <w:gridSpan w:val="7"/>
          </w:tcPr>
          <w:p w14:paraId="6B180F99" w14:textId="27613026" w:rsidR="00E24AF2" w:rsidRPr="00C34DE2" w:rsidRDefault="00E24AF2" w:rsidP="007E751D">
            <w:pPr>
              <w:pStyle w:val="TableBlock"/>
              <w:keepLines w:val="0"/>
            </w:pPr>
            <w:r>
              <w:rPr>
                <w:rFonts w:hint="cs"/>
                <w:rtl/>
              </w:rPr>
              <w:t>אחרי סעיף 11א המוצע יבוא</w:t>
            </w:r>
            <w:r w:rsidR="003E51E5">
              <w:rPr>
                <w:rFonts w:hint="cs"/>
                <w:rtl/>
              </w:rPr>
              <w:t>:</w:t>
            </w:r>
            <w:r>
              <w:rPr>
                <w:rFonts w:hint="cs"/>
                <w:rtl/>
              </w:rPr>
              <w:t xml:space="preserve"> </w:t>
            </w:r>
          </w:p>
        </w:tc>
      </w:tr>
      <w:tr w:rsidR="00E24AF2" w14:paraId="330BB8E5" w14:textId="77777777" w:rsidTr="00BA44BB">
        <w:trPr>
          <w:cantSplit/>
          <w:trHeight w:val="60"/>
        </w:trPr>
        <w:tc>
          <w:tcPr>
            <w:tcW w:w="1870" w:type="dxa"/>
          </w:tcPr>
          <w:p w14:paraId="19975044" w14:textId="77777777" w:rsidR="00E24AF2" w:rsidRDefault="00E24AF2">
            <w:pPr>
              <w:pStyle w:val="TableSideHeading"/>
            </w:pPr>
          </w:p>
        </w:tc>
        <w:tc>
          <w:tcPr>
            <w:tcW w:w="624" w:type="dxa"/>
          </w:tcPr>
          <w:p w14:paraId="5CEEEF75" w14:textId="77777777" w:rsidR="00E24AF2" w:rsidRDefault="00E24AF2">
            <w:pPr>
              <w:pStyle w:val="TableText"/>
            </w:pPr>
          </w:p>
        </w:tc>
        <w:tc>
          <w:tcPr>
            <w:tcW w:w="1872" w:type="dxa"/>
            <w:gridSpan w:val="3"/>
          </w:tcPr>
          <w:p w14:paraId="6FBE33B9" w14:textId="0564649E" w:rsidR="00E24AF2" w:rsidRDefault="00E24AF2">
            <w:pPr>
              <w:pStyle w:val="TableText"/>
            </w:pPr>
            <w:r w:rsidRPr="0011218E">
              <w:rPr>
                <w:rFonts w:hint="cs"/>
                <w:rtl/>
              </w:rPr>
              <w:t xml:space="preserve">"הוראות </w:t>
            </w:r>
            <w:r>
              <w:rPr>
                <w:rFonts w:hint="cs"/>
                <w:rtl/>
              </w:rPr>
              <w:t>לעניין טיפול</w:t>
            </w:r>
            <w:r w:rsidRPr="0011218E">
              <w:rPr>
                <w:rFonts w:hint="cs"/>
                <w:rtl/>
              </w:rPr>
              <w:t xml:space="preserve"> </w:t>
            </w:r>
            <w:r>
              <w:rPr>
                <w:rFonts w:hint="cs"/>
                <w:rtl/>
              </w:rPr>
              <w:t>ב</w:t>
            </w:r>
            <w:r w:rsidRPr="0011218E">
              <w:rPr>
                <w:rFonts w:hint="cs"/>
                <w:rtl/>
              </w:rPr>
              <w:t>מידע שהתקבל או נאסף"</w:t>
            </w:r>
          </w:p>
        </w:tc>
        <w:tc>
          <w:tcPr>
            <w:tcW w:w="624" w:type="dxa"/>
          </w:tcPr>
          <w:p w14:paraId="6ED32A01" w14:textId="0A78AD0D" w:rsidR="00E24AF2" w:rsidRDefault="00E24AF2">
            <w:pPr>
              <w:pStyle w:val="TableText"/>
            </w:pPr>
            <w:r>
              <w:rPr>
                <w:rFonts w:hint="cs"/>
                <w:rtl/>
              </w:rPr>
              <w:t>11ב</w:t>
            </w:r>
          </w:p>
        </w:tc>
        <w:tc>
          <w:tcPr>
            <w:tcW w:w="624" w:type="dxa"/>
          </w:tcPr>
          <w:p w14:paraId="35FF547C" w14:textId="77777777" w:rsidR="00E24AF2" w:rsidRDefault="00E24AF2" w:rsidP="00F44C09">
            <w:pPr>
              <w:pStyle w:val="TableText"/>
              <w:numPr>
                <w:ilvl w:val="0"/>
                <w:numId w:val="25"/>
              </w:numPr>
              <w:tabs>
                <w:tab w:val="left" w:pos="624"/>
              </w:tabs>
              <w:jc w:val="both"/>
            </w:pPr>
          </w:p>
        </w:tc>
        <w:tc>
          <w:tcPr>
            <w:tcW w:w="4027" w:type="dxa"/>
            <w:gridSpan w:val="2"/>
          </w:tcPr>
          <w:p w14:paraId="1F58F716" w14:textId="341E0EE1" w:rsidR="00E24AF2" w:rsidRDefault="002934B2">
            <w:pPr>
              <w:pStyle w:val="TableBlock"/>
            </w:pPr>
            <w:r w:rsidRPr="0011218E">
              <w:rPr>
                <w:rtl/>
              </w:rPr>
              <w:t>ראש הממשלה יקבע בכללים הוראות בדבר תקופות שמירתו, מחיקתו וביעורו של מידע שהתקבל בשירות לפי סעיפים 8א, 9, 10, 10א</w:t>
            </w:r>
            <w:r>
              <w:rPr>
                <w:rFonts w:hint="cs"/>
                <w:rtl/>
              </w:rPr>
              <w:t>, 11</w:t>
            </w:r>
            <w:r w:rsidRPr="0011218E">
              <w:rPr>
                <w:rtl/>
              </w:rPr>
              <w:t xml:space="preserve"> ו-11</w:t>
            </w:r>
            <w:r>
              <w:rPr>
                <w:rFonts w:hint="cs"/>
                <w:rtl/>
              </w:rPr>
              <w:t>א</w:t>
            </w:r>
            <w:r w:rsidRPr="0011218E">
              <w:rPr>
                <w:rtl/>
              </w:rPr>
              <w:t xml:space="preserve">. תקופת השמירה לא תעלה על 5 שנים ממועד קבלת או איסוף המידע או מאגר המידע, אלא אם ראש השירות יקבע כי שמירת מידע מסוים לתקופה ארוכה יותר נחוצה לצורך חקירה; כן יקבע ראש הממשלה, בהסכמת שר המשפטים, בכללים, הוראות בדבר דרך העברת סוגי המידע לשירות, פיקוח ובקרה של השירות על השימוש במידע שהועבר לו לפי סעיפים אלו </w:t>
            </w:r>
            <w:r>
              <w:rPr>
                <w:rFonts w:hint="cs"/>
                <w:rtl/>
              </w:rPr>
              <w:t>ו</w:t>
            </w:r>
            <w:r w:rsidRPr="0011218E">
              <w:rPr>
                <w:rtl/>
              </w:rPr>
              <w:t>אופן החזקתו ושמירתו של מידע כאמור.</w:t>
            </w:r>
          </w:p>
        </w:tc>
      </w:tr>
      <w:tr w:rsidR="002934B2" w14:paraId="7E1A55D7" w14:textId="77777777" w:rsidTr="00BA44BB">
        <w:trPr>
          <w:cantSplit/>
          <w:trHeight w:val="60"/>
        </w:trPr>
        <w:tc>
          <w:tcPr>
            <w:tcW w:w="1870" w:type="dxa"/>
          </w:tcPr>
          <w:p w14:paraId="2D5B481C" w14:textId="77777777" w:rsidR="002934B2" w:rsidRDefault="002934B2">
            <w:pPr>
              <w:pStyle w:val="TableSideHeading"/>
            </w:pPr>
          </w:p>
        </w:tc>
        <w:tc>
          <w:tcPr>
            <w:tcW w:w="624" w:type="dxa"/>
          </w:tcPr>
          <w:p w14:paraId="21EA2973" w14:textId="77777777" w:rsidR="002934B2" w:rsidRDefault="002934B2" w:rsidP="002934B2">
            <w:pPr>
              <w:pStyle w:val="TableText"/>
            </w:pPr>
          </w:p>
        </w:tc>
        <w:tc>
          <w:tcPr>
            <w:tcW w:w="1872" w:type="dxa"/>
            <w:gridSpan w:val="3"/>
          </w:tcPr>
          <w:p w14:paraId="2F44DAFF" w14:textId="77777777" w:rsidR="002934B2" w:rsidRPr="0011218E" w:rsidRDefault="002934B2">
            <w:pPr>
              <w:pStyle w:val="TableText"/>
              <w:rPr>
                <w:rtl/>
              </w:rPr>
            </w:pPr>
          </w:p>
        </w:tc>
        <w:tc>
          <w:tcPr>
            <w:tcW w:w="624" w:type="dxa"/>
          </w:tcPr>
          <w:p w14:paraId="7F9247A4" w14:textId="77777777" w:rsidR="002934B2" w:rsidRDefault="002934B2">
            <w:pPr>
              <w:pStyle w:val="TableText"/>
              <w:rPr>
                <w:rtl/>
              </w:rPr>
            </w:pPr>
          </w:p>
        </w:tc>
        <w:tc>
          <w:tcPr>
            <w:tcW w:w="624" w:type="dxa"/>
          </w:tcPr>
          <w:p w14:paraId="29D36B12" w14:textId="77777777" w:rsidR="002934B2" w:rsidRDefault="002934B2" w:rsidP="00F44C09">
            <w:pPr>
              <w:pStyle w:val="TableText"/>
              <w:numPr>
                <w:ilvl w:val="0"/>
                <w:numId w:val="25"/>
              </w:numPr>
              <w:tabs>
                <w:tab w:val="left" w:pos="624"/>
              </w:tabs>
              <w:jc w:val="both"/>
            </w:pPr>
          </w:p>
        </w:tc>
        <w:tc>
          <w:tcPr>
            <w:tcW w:w="4027" w:type="dxa"/>
            <w:gridSpan w:val="2"/>
          </w:tcPr>
          <w:p w14:paraId="2EBF5B32" w14:textId="0DEB9745" w:rsidR="002934B2" w:rsidRPr="002934B2" w:rsidRDefault="002934B2">
            <w:pPr>
              <w:pStyle w:val="TableBlock"/>
              <w:rPr>
                <w:rtl/>
              </w:rPr>
            </w:pPr>
            <w:r w:rsidRPr="0011218E">
              <w:rPr>
                <w:rtl/>
              </w:rPr>
              <w:t>בוטל היתר שניתן לשירות מכוח סעיפים 8א(ג)(2), 10(ב) ו-10א(ג), יימחק המידע שהתקבל או נאסף</w:t>
            </w:r>
            <w:r>
              <w:rPr>
                <w:rFonts w:hint="cs"/>
                <w:rtl/>
              </w:rPr>
              <w:t xml:space="preserve"> מכוח ההיתר שבוטל</w:t>
            </w:r>
            <w:r w:rsidRPr="0011218E">
              <w:rPr>
                <w:rtl/>
              </w:rPr>
              <w:t xml:space="preserve"> ללא דיחוי.</w:t>
            </w:r>
          </w:p>
        </w:tc>
      </w:tr>
      <w:tr w:rsidR="002934B2" w14:paraId="7731A631" w14:textId="77777777" w:rsidTr="00BA44BB">
        <w:trPr>
          <w:cantSplit/>
          <w:trHeight w:val="60"/>
        </w:trPr>
        <w:tc>
          <w:tcPr>
            <w:tcW w:w="1870" w:type="dxa"/>
          </w:tcPr>
          <w:p w14:paraId="53826DCC" w14:textId="77777777" w:rsidR="002934B2" w:rsidRDefault="002934B2">
            <w:pPr>
              <w:pStyle w:val="TableSideHeading"/>
            </w:pPr>
          </w:p>
        </w:tc>
        <w:tc>
          <w:tcPr>
            <w:tcW w:w="624" w:type="dxa"/>
          </w:tcPr>
          <w:p w14:paraId="4DBB132F" w14:textId="77777777" w:rsidR="002934B2" w:rsidRDefault="002934B2" w:rsidP="002934B2">
            <w:pPr>
              <w:pStyle w:val="TableText"/>
            </w:pPr>
          </w:p>
        </w:tc>
        <w:tc>
          <w:tcPr>
            <w:tcW w:w="1872" w:type="dxa"/>
            <w:gridSpan w:val="3"/>
          </w:tcPr>
          <w:p w14:paraId="1CDBD761" w14:textId="77777777" w:rsidR="002934B2" w:rsidRPr="0011218E" w:rsidRDefault="002934B2">
            <w:pPr>
              <w:pStyle w:val="TableText"/>
              <w:rPr>
                <w:rtl/>
              </w:rPr>
            </w:pPr>
          </w:p>
        </w:tc>
        <w:tc>
          <w:tcPr>
            <w:tcW w:w="624" w:type="dxa"/>
          </w:tcPr>
          <w:p w14:paraId="38E26DE5" w14:textId="77777777" w:rsidR="002934B2" w:rsidRDefault="002934B2">
            <w:pPr>
              <w:pStyle w:val="TableText"/>
              <w:rPr>
                <w:rtl/>
              </w:rPr>
            </w:pPr>
          </w:p>
        </w:tc>
        <w:tc>
          <w:tcPr>
            <w:tcW w:w="624" w:type="dxa"/>
          </w:tcPr>
          <w:p w14:paraId="619EB2DF" w14:textId="77777777" w:rsidR="002934B2" w:rsidRDefault="002934B2" w:rsidP="00F44C09">
            <w:pPr>
              <w:pStyle w:val="TableText"/>
              <w:numPr>
                <w:ilvl w:val="0"/>
                <w:numId w:val="25"/>
              </w:numPr>
              <w:tabs>
                <w:tab w:val="left" w:pos="624"/>
              </w:tabs>
              <w:jc w:val="both"/>
            </w:pPr>
          </w:p>
        </w:tc>
        <w:tc>
          <w:tcPr>
            <w:tcW w:w="4027" w:type="dxa"/>
            <w:gridSpan w:val="2"/>
          </w:tcPr>
          <w:p w14:paraId="2040F632" w14:textId="1DF21DCE" w:rsidR="002934B2" w:rsidRPr="002934B2" w:rsidRDefault="002934B2" w:rsidP="002934B2">
            <w:pPr>
              <w:pStyle w:val="TableBlock"/>
              <w:rPr>
                <w:rtl/>
              </w:rPr>
            </w:pPr>
            <w:r w:rsidRPr="0011218E">
              <w:rPr>
                <w:rtl/>
              </w:rPr>
              <w:t>על אף האמור בפסקאות (א) ו-(ב) לעיל, ידיעות ותוצרים מודיעיניים שהופקו בהתבסס על מידע או מאגר מידע שהתקבלו או נאספו לפי סעיפים 8א, 9, 10</w:t>
            </w:r>
            <w:r w:rsidRPr="00823188">
              <w:rPr>
                <w:rtl/>
              </w:rPr>
              <w:t>, 10א</w:t>
            </w:r>
            <w:r>
              <w:rPr>
                <w:rFonts w:hint="cs"/>
                <w:rtl/>
              </w:rPr>
              <w:t>, 11</w:t>
            </w:r>
            <w:r w:rsidRPr="00823188">
              <w:rPr>
                <w:rtl/>
              </w:rPr>
              <w:t xml:space="preserve"> ו-11</w:t>
            </w:r>
            <w:r w:rsidRPr="00C464C8">
              <w:rPr>
                <w:rFonts w:hint="cs"/>
                <w:rtl/>
              </w:rPr>
              <w:t>א</w:t>
            </w:r>
            <w:r w:rsidRPr="00823188">
              <w:rPr>
                <w:rtl/>
              </w:rPr>
              <w:t xml:space="preserve"> – לא יימחקו</w:t>
            </w:r>
            <w:r w:rsidRPr="009C2880">
              <w:rPr>
                <w:rFonts w:hint="cs"/>
                <w:rtl/>
              </w:rPr>
              <w:t>.</w:t>
            </w:r>
          </w:p>
        </w:tc>
      </w:tr>
      <w:tr w:rsidR="002934B2" w14:paraId="6C35F5AA" w14:textId="77777777" w:rsidTr="00BA44BB">
        <w:trPr>
          <w:cantSplit/>
          <w:trHeight w:val="60"/>
        </w:trPr>
        <w:tc>
          <w:tcPr>
            <w:tcW w:w="1870" w:type="dxa"/>
          </w:tcPr>
          <w:p w14:paraId="40C3017C" w14:textId="77777777" w:rsidR="002934B2" w:rsidRDefault="002934B2">
            <w:pPr>
              <w:pStyle w:val="TableSideHeading"/>
            </w:pPr>
          </w:p>
        </w:tc>
        <w:tc>
          <w:tcPr>
            <w:tcW w:w="624" w:type="dxa"/>
          </w:tcPr>
          <w:p w14:paraId="141CCF7C" w14:textId="77777777" w:rsidR="002934B2" w:rsidRDefault="002934B2" w:rsidP="002934B2">
            <w:pPr>
              <w:pStyle w:val="TableText"/>
            </w:pPr>
          </w:p>
        </w:tc>
        <w:tc>
          <w:tcPr>
            <w:tcW w:w="1872" w:type="dxa"/>
            <w:gridSpan w:val="3"/>
          </w:tcPr>
          <w:p w14:paraId="30508EEE" w14:textId="77777777" w:rsidR="002934B2" w:rsidRPr="0011218E" w:rsidRDefault="002934B2">
            <w:pPr>
              <w:pStyle w:val="TableText"/>
              <w:rPr>
                <w:rtl/>
              </w:rPr>
            </w:pPr>
          </w:p>
        </w:tc>
        <w:tc>
          <w:tcPr>
            <w:tcW w:w="624" w:type="dxa"/>
          </w:tcPr>
          <w:p w14:paraId="1D8813DC" w14:textId="77777777" w:rsidR="002934B2" w:rsidRDefault="002934B2">
            <w:pPr>
              <w:pStyle w:val="TableText"/>
              <w:rPr>
                <w:rtl/>
              </w:rPr>
            </w:pPr>
          </w:p>
        </w:tc>
        <w:tc>
          <w:tcPr>
            <w:tcW w:w="624" w:type="dxa"/>
          </w:tcPr>
          <w:p w14:paraId="086E98C5" w14:textId="77777777" w:rsidR="002934B2" w:rsidRDefault="002934B2" w:rsidP="00F44C09">
            <w:pPr>
              <w:pStyle w:val="TableText"/>
              <w:numPr>
                <w:ilvl w:val="0"/>
                <w:numId w:val="25"/>
              </w:numPr>
              <w:tabs>
                <w:tab w:val="left" w:pos="624"/>
              </w:tabs>
              <w:jc w:val="both"/>
            </w:pPr>
          </w:p>
        </w:tc>
        <w:tc>
          <w:tcPr>
            <w:tcW w:w="4027" w:type="dxa"/>
            <w:gridSpan w:val="2"/>
          </w:tcPr>
          <w:p w14:paraId="15E779BD" w14:textId="6C6E23A0" w:rsidR="002934B2" w:rsidRDefault="002934B2" w:rsidP="002934B2">
            <w:pPr>
              <w:pStyle w:val="TableBlock"/>
              <w:rPr>
                <w:rtl/>
              </w:rPr>
            </w:pPr>
            <w:r w:rsidRPr="009C2880">
              <w:rPr>
                <w:rFonts w:hint="eastAsia"/>
                <w:rtl/>
              </w:rPr>
              <w:t>נקבעו</w:t>
            </w:r>
            <w:r w:rsidRPr="009C2880">
              <w:rPr>
                <w:rtl/>
              </w:rPr>
              <w:t xml:space="preserve"> כללים לפי די</w:t>
            </w:r>
            <w:r w:rsidRPr="009C2880">
              <w:rPr>
                <w:rFonts w:hint="eastAsia"/>
                <w:rtl/>
              </w:rPr>
              <w:t>ן</w:t>
            </w:r>
            <w:r w:rsidRPr="009C2880">
              <w:rPr>
                <w:rtl/>
              </w:rPr>
              <w:t xml:space="preserve">, </w:t>
            </w:r>
            <w:r w:rsidRPr="009C2880">
              <w:rPr>
                <w:rFonts w:hint="eastAsia"/>
                <w:rtl/>
              </w:rPr>
              <w:t>המאפשרים</w:t>
            </w:r>
            <w:r w:rsidRPr="009C2880">
              <w:rPr>
                <w:rtl/>
              </w:rPr>
              <w:t xml:space="preserve"> </w:t>
            </w:r>
            <w:r w:rsidRPr="009C2880">
              <w:rPr>
                <w:rFonts w:hint="eastAsia"/>
                <w:rtl/>
              </w:rPr>
              <w:t>לשירות</w:t>
            </w:r>
            <w:r w:rsidRPr="009C2880">
              <w:rPr>
                <w:rtl/>
              </w:rPr>
              <w:t xml:space="preserve"> </w:t>
            </w:r>
            <w:r w:rsidRPr="009C2880">
              <w:rPr>
                <w:rFonts w:hint="eastAsia"/>
                <w:rtl/>
              </w:rPr>
              <w:t>להורות</w:t>
            </w:r>
            <w:r w:rsidRPr="009C2880">
              <w:rPr>
                <w:rtl/>
              </w:rPr>
              <w:t xml:space="preserve"> </w:t>
            </w:r>
            <w:r w:rsidRPr="009C2880">
              <w:rPr>
                <w:rFonts w:hint="eastAsia"/>
                <w:rtl/>
              </w:rPr>
              <w:t>לגוף</w:t>
            </w:r>
            <w:r w:rsidRPr="009C2880">
              <w:rPr>
                <w:rtl/>
              </w:rPr>
              <w:t xml:space="preserve"> </w:t>
            </w:r>
            <w:r w:rsidRPr="009C2880">
              <w:rPr>
                <w:rFonts w:hint="eastAsia"/>
                <w:rtl/>
              </w:rPr>
              <w:t>אחר</w:t>
            </w:r>
            <w:r w:rsidRPr="009C2880">
              <w:rPr>
                <w:rtl/>
              </w:rPr>
              <w:t xml:space="preserve"> להעב</w:t>
            </w:r>
            <w:r w:rsidRPr="009C2880">
              <w:rPr>
                <w:rFonts w:hint="eastAsia"/>
                <w:rtl/>
              </w:rPr>
              <w:t>יר</w:t>
            </w:r>
            <w:r w:rsidRPr="009C2880">
              <w:rPr>
                <w:rtl/>
              </w:rPr>
              <w:t xml:space="preserve"> </w:t>
            </w:r>
            <w:r w:rsidRPr="009C2880">
              <w:rPr>
                <w:rFonts w:hint="eastAsia"/>
                <w:rtl/>
              </w:rPr>
              <w:t>לו</w:t>
            </w:r>
            <w:r w:rsidRPr="009C2880">
              <w:rPr>
                <w:rtl/>
              </w:rPr>
              <w:t xml:space="preserve"> סוגי מידע</w:t>
            </w:r>
            <w:r w:rsidRPr="00807067">
              <w:rPr>
                <w:rtl/>
              </w:rPr>
              <w:t xml:space="preserve">, יחולו הוראות </w:t>
            </w:r>
            <w:r w:rsidRPr="00807067">
              <w:rPr>
                <w:rFonts w:hint="eastAsia"/>
                <w:rtl/>
              </w:rPr>
              <w:t>סעיף</w:t>
            </w:r>
            <w:r w:rsidRPr="00807067">
              <w:rPr>
                <w:rtl/>
              </w:rPr>
              <w:t xml:space="preserve"> </w:t>
            </w:r>
            <w:r w:rsidRPr="00807067">
              <w:rPr>
                <w:rFonts w:hint="eastAsia"/>
                <w:rtl/>
              </w:rPr>
              <w:t>זה</w:t>
            </w:r>
            <w:r w:rsidRPr="00807067">
              <w:rPr>
                <w:rtl/>
              </w:rPr>
              <w:t xml:space="preserve">, </w:t>
            </w:r>
            <w:r w:rsidRPr="00807067">
              <w:rPr>
                <w:rFonts w:hint="eastAsia"/>
                <w:rtl/>
              </w:rPr>
              <w:t>בשינויים</w:t>
            </w:r>
            <w:r w:rsidRPr="002559F6">
              <w:rPr>
                <w:rtl/>
              </w:rPr>
              <w:t xml:space="preserve"> </w:t>
            </w:r>
            <w:r w:rsidRPr="002559F6">
              <w:rPr>
                <w:rFonts w:hint="eastAsia"/>
                <w:rtl/>
              </w:rPr>
              <w:t>המחויבים</w:t>
            </w:r>
            <w:r w:rsidRPr="002559F6">
              <w:rPr>
                <w:rFonts w:hint="cs"/>
                <w:rtl/>
              </w:rPr>
              <w:t xml:space="preserve">; </w:t>
            </w:r>
            <w:r w:rsidRPr="002559F6">
              <w:rPr>
                <w:rFonts w:hint="eastAsia"/>
                <w:rtl/>
              </w:rPr>
              <w:t>כללים</w:t>
            </w:r>
            <w:r w:rsidRPr="002559F6">
              <w:rPr>
                <w:rtl/>
              </w:rPr>
              <w:t xml:space="preserve"> </w:t>
            </w:r>
            <w:r w:rsidRPr="002559F6">
              <w:rPr>
                <w:rFonts w:hint="eastAsia"/>
                <w:rtl/>
              </w:rPr>
              <w:t>והוראות</w:t>
            </w:r>
            <w:r w:rsidRPr="002559F6">
              <w:rPr>
                <w:rtl/>
              </w:rPr>
              <w:t xml:space="preserve"> </w:t>
            </w:r>
            <w:r w:rsidRPr="002559F6">
              <w:rPr>
                <w:rFonts w:hint="eastAsia"/>
                <w:rtl/>
              </w:rPr>
              <w:t>כאמור</w:t>
            </w:r>
            <w:r w:rsidRPr="002559F6">
              <w:rPr>
                <w:rtl/>
              </w:rPr>
              <w:t xml:space="preserve"> </w:t>
            </w:r>
            <w:r w:rsidRPr="002559F6">
              <w:rPr>
                <w:rFonts w:hint="eastAsia"/>
                <w:rtl/>
              </w:rPr>
              <w:t>לא</w:t>
            </w:r>
            <w:r w:rsidRPr="002559F6">
              <w:rPr>
                <w:rtl/>
              </w:rPr>
              <w:t xml:space="preserve"> </w:t>
            </w:r>
            <w:r w:rsidRPr="002559F6">
              <w:rPr>
                <w:rFonts w:hint="eastAsia"/>
                <w:rtl/>
              </w:rPr>
              <w:t>יקבעו</w:t>
            </w:r>
            <w:r w:rsidRPr="002559F6">
              <w:rPr>
                <w:rtl/>
              </w:rPr>
              <w:t xml:space="preserve"> </w:t>
            </w:r>
            <w:r w:rsidRPr="002559F6">
              <w:rPr>
                <w:rFonts w:hint="eastAsia"/>
                <w:rtl/>
              </w:rPr>
              <w:t>אלא</w:t>
            </w:r>
            <w:r w:rsidRPr="002559F6">
              <w:rPr>
                <w:rtl/>
              </w:rPr>
              <w:t xml:space="preserve"> </w:t>
            </w:r>
            <w:r w:rsidRPr="002559F6">
              <w:rPr>
                <w:rFonts w:hint="eastAsia"/>
                <w:rtl/>
              </w:rPr>
              <w:t>לאחר</w:t>
            </w:r>
            <w:r w:rsidRPr="002559F6">
              <w:rPr>
                <w:rtl/>
              </w:rPr>
              <w:t xml:space="preserve"> </w:t>
            </w:r>
            <w:r w:rsidRPr="002559F6">
              <w:rPr>
                <w:rFonts w:hint="eastAsia"/>
                <w:rtl/>
              </w:rPr>
              <w:t>שנשקלה</w:t>
            </w:r>
            <w:r w:rsidRPr="002559F6">
              <w:rPr>
                <w:rtl/>
              </w:rPr>
              <w:t xml:space="preserve">, </w:t>
            </w:r>
            <w:r w:rsidRPr="002559F6">
              <w:rPr>
                <w:rFonts w:hint="eastAsia"/>
                <w:rtl/>
              </w:rPr>
              <w:t>בין</w:t>
            </w:r>
            <w:r w:rsidRPr="002559F6">
              <w:rPr>
                <w:rtl/>
              </w:rPr>
              <w:t xml:space="preserve"> </w:t>
            </w:r>
            <w:r w:rsidRPr="002559F6">
              <w:rPr>
                <w:rFonts w:hint="eastAsia"/>
                <w:rtl/>
              </w:rPr>
              <w:t>היתר</w:t>
            </w:r>
            <w:r w:rsidRPr="002559F6">
              <w:rPr>
                <w:rtl/>
              </w:rPr>
              <w:t xml:space="preserve">, </w:t>
            </w:r>
            <w:r w:rsidRPr="002559F6">
              <w:rPr>
                <w:rFonts w:hint="eastAsia"/>
                <w:rtl/>
              </w:rPr>
              <w:t>מידת</w:t>
            </w:r>
            <w:r w:rsidRPr="002559F6">
              <w:rPr>
                <w:rtl/>
              </w:rPr>
              <w:t xml:space="preserve"> </w:t>
            </w:r>
            <w:r w:rsidRPr="008A7D81">
              <w:rPr>
                <w:rFonts w:hint="eastAsia"/>
                <w:rtl/>
              </w:rPr>
              <w:t>הפגיעה</w:t>
            </w:r>
            <w:r w:rsidRPr="008A7D81">
              <w:rPr>
                <w:rtl/>
              </w:rPr>
              <w:t xml:space="preserve"> </w:t>
            </w:r>
            <w:r w:rsidRPr="008A7D81">
              <w:rPr>
                <w:rFonts w:hint="eastAsia"/>
                <w:rtl/>
              </w:rPr>
              <w:t>בפרטיות</w:t>
            </w:r>
            <w:r w:rsidRPr="008A7D81">
              <w:rPr>
                <w:rtl/>
              </w:rPr>
              <w:t xml:space="preserve">, </w:t>
            </w:r>
            <w:r w:rsidRPr="008A7D81">
              <w:rPr>
                <w:rFonts w:hint="eastAsia"/>
                <w:rtl/>
              </w:rPr>
              <w:t>ונמצא</w:t>
            </w:r>
            <w:r w:rsidRPr="008A7D81">
              <w:rPr>
                <w:rtl/>
              </w:rPr>
              <w:t xml:space="preserve"> </w:t>
            </w:r>
            <w:r w:rsidRPr="008A7D81">
              <w:rPr>
                <w:rFonts w:hint="eastAsia"/>
                <w:rtl/>
              </w:rPr>
              <w:t>כי</w:t>
            </w:r>
            <w:r w:rsidRPr="008A7D81">
              <w:rPr>
                <w:rtl/>
              </w:rPr>
              <w:t xml:space="preserve"> </w:t>
            </w:r>
            <w:r w:rsidRPr="008A7D81">
              <w:rPr>
                <w:rFonts w:hint="eastAsia"/>
                <w:rtl/>
              </w:rPr>
              <w:t>התועלת</w:t>
            </w:r>
            <w:r w:rsidRPr="008A7D81">
              <w:rPr>
                <w:rtl/>
              </w:rPr>
              <w:t xml:space="preserve"> </w:t>
            </w:r>
            <w:r w:rsidRPr="008A7D81">
              <w:rPr>
                <w:rFonts w:hint="eastAsia"/>
                <w:rtl/>
              </w:rPr>
              <w:t>שתופק</w:t>
            </w:r>
            <w:r w:rsidRPr="008A7D81">
              <w:rPr>
                <w:rtl/>
              </w:rPr>
              <w:t xml:space="preserve"> </w:t>
            </w:r>
            <w:r w:rsidRPr="00AC1058">
              <w:rPr>
                <w:rFonts w:hint="eastAsia"/>
                <w:rtl/>
              </w:rPr>
              <w:t>מקבלת</w:t>
            </w:r>
            <w:r w:rsidRPr="00AC1058">
              <w:rPr>
                <w:rtl/>
              </w:rPr>
              <w:t xml:space="preserve"> </w:t>
            </w:r>
            <w:r w:rsidRPr="00AC1058">
              <w:rPr>
                <w:rFonts w:hint="eastAsia"/>
                <w:rtl/>
              </w:rPr>
              <w:t>המידע</w:t>
            </w:r>
            <w:r w:rsidRPr="00AC1058">
              <w:rPr>
                <w:rtl/>
              </w:rPr>
              <w:t xml:space="preserve"> </w:t>
            </w:r>
            <w:r w:rsidRPr="00AC1058">
              <w:rPr>
                <w:rFonts w:hint="eastAsia"/>
                <w:rtl/>
              </w:rPr>
              <w:t>לפיהם</w:t>
            </w:r>
            <w:r w:rsidRPr="00AC1058">
              <w:rPr>
                <w:rtl/>
              </w:rPr>
              <w:t xml:space="preserve"> </w:t>
            </w:r>
            <w:r w:rsidRPr="00AC1058">
              <w:rPr>
                <w:rFonts w:hint="eastAsia"/>
                <w:rtl/>
              </w:rPr>
              <w:t>עולה</w:t>
            </w:r>
            <w:r w:rsidRPr="00AC1058">
              <w:rPr>
                <w:rtl/>
              </w:rPr>
              <w:t xml:space="preserve">, </w:t>
            </w:r>
            <w:r w:rsidRPr="00AC1058">
              <w:rPr>
                <w:rFonts w:hint="eastAsia"/>
                <w:rtl/>
              </w:rPr>
              <w:t>בנסיבות</w:t>
            </w:r>
            <w:r w:rsidRPr="00AC1058">
              <w:rPr>
                <w:rtl/>
              </w:rPr>
              <w:t xml:space="preserve"> </w:t>
            </w:r>
            <w:r w:rsidRPr="00AC1058">
              <w:rPr>
                <w:rFonts w:hint="eastAsia"/>
                <w:rtl/>
              </w:rPr>
              <w:t>העניין</w:t>
            </w:r>
            <w:r w:rsidRPr="008404E8">
              <w:rPr>
                <w:rtl/>
              </w:rPr>
              <w:t>, על מידת הפגיעה בפרטיות הכרוכה בכך</w:t>
            </w:r>
            <w:r w:rsidRPr="008404E8">
              <w:rPr>
                <w:rFonts w:hint="cs"/>
                <w:rtl/>
              </w:rPr>
              <w:t xml:space="preserve">; </w:t>
            </w:r>
            <w:r w:rsidRPr="008404E8">
              <w:rPr>
                <w:rtl/>
              </w:rPr>
              <w:t>כללים כאמור יכללו קביעה לענ</w:t>
            </w:r>
            <w:r w:rsidRPr="00F17000">
              <w:rPr>
                <w:rtl/>
              </w:rPr>
              <w:t xml:space="preserve">יין תוקף הוראה שתינתן מכוחם והוראות לעניין אופן קביעת </w:t>
            </w:r>
            <w:proofErr w:type="spellStart"/>
            <w:r w:rsidRPr="00F17000">
              <w:rPr>
                <w:rtl/>
              </w:rPr>
              <w:t>מורשי</w:t>
            </w:r>
            <w:proofErr w:type="spellEnd"/>
            <w:r w:rsidRPr="00F17000">
              <w:rPr>
                <w:rtl/>
              </w:rPr>
              <w:t xml:space="preserve"> השימוש במידע שיתקבל.</w:t>
            </w:r>
            <w:r>
              <w:rPr>
                <w:rFonts w:hint="cs"/>
                <w:rtl/>
              </w:rPr>
              <w:t>".</w:t>
            </w:r>
          </w:p>
        </w:tc>
      </w:tr>
      <w:tr w:rsidR="002934B2" w14:paraId="0E3AEA7B" w14:textId="77777777" w:rsidTr="002934B2">
        <w:trPr>
          <w:cantSplit/>
          <w:trHeight w:val="60"/>
        </w:trPr>
        <w:tc>
          <w:tcPr>
            <w:tcW w:w="1870" w:type="dxa"/>
          </w:tcPr>
          <w:p w14:paraId="235C51F8" w14:textId="7B97CE15" w:rsidR="002934B2" w:rsidRPr="002934B2" w:rsidRDefault="002934B2" w:rsidP="007E751D">
            <w:pPr>
              <w:pStyle w:val="TableSideHeading"/>
              <w:keepLines w:val="0"/>
            </w:pPr>
            <w:r>
              <w:rPr>
                <w:rFonts w:hint="cs"/>
                <w:rtl/>
              </w:rPr>
              <w:t>תיקון סעיף 15</w:t>
            </w:r>
          </w:p>
        </w:tc>
        <w:tc>
          <w:tcPr>
            <w:tcW w:w="624" w:type="dxa"/>
          </w:tcPr>
          <w:p w14:paraId="27C14E05" w14:textId="0373912E" w:rsidR="002934B2" w:rsidRDefault="002934B2" w:rsidP="002934B2">
            <w:pPr>
              <w:pStyle w:val="TableText"/>
              <w:keepLines w:val="0"/>
              <w:tabs>
                <w:tab w:val="clear" w:pos="624"/>
              </w:tabs>
            </w:pPr>
            <w:r>
              <w:rPr>
                <w:rFonts w:hint="cs"/>
                <w:rtl/>
              </w:rPr>
              <w:t xml:space="preserve">12. </w:t>
            </w:r>
          </w:p>
        </w:tc>
        <w:tc>
          <w:tcPr>
            <w:tcW w:w="7147" w:type="dxa"/>
            <w:gridSpan w:val="7"/>
          </w:tcPr>
          <w:p w14:paraId="3DDACEC3" w14:textId="7000A1EF" w:rsidR="002934B2" w:rsidRPr="00C34DE2" w:rsidRDefault="002934B2" w:rsidP="007E751D">
            <w:pPr>
              <w:pStyle w:val="TableBlock"/>
              <w:keepLines w:val="0"/>
            </w:pPr>
            <w:r>
              <w:rPr>
                <w:rFonts w:hint="cs"/>
                <w:rtl/>
              </w:rPr>
              <w:t xml:space="preserve">בסעיף 15 לחוק העיקרי </w:t>
            </w:r>
            <w:r>
              <w:rPr>
                <w:rtl/>
              </w:rPr>
              <w:t>–</w:t>
            </w:r>
            <w:r>
              <w:rPr>
                <w:rFonts w:hint="cs"/>
                <w:rtl/>
              </w:rPr>
              <w:t xml:space="preserve"> </w:t>
            </w:r>
          </w:p>
        </w:tc>
      </w:tr>
      <w:tr w:rsidR="002934B2" w14:paraId="1AF8FD7F" w14:textId="77777777" w:rsidTr="002934B2">
        <w:trPr>
          <w:cantSplit/>
          <w:trHeight w:val="60"/>
        </w:trPr>
        <w:tc>
          <w:tcPr>
            <w:tcW w:w="1870" w:type="dxa"/>
          </w:tcPr>
          <w:p w14:paraId="6351305A" w14:textId="77777777" w:rsidR="002934B2" w:rsidRDefault="002934B2">
            <w:pPr>
              <w:pStyle w:val="TableSideHeading"/>
            </w:pPr>
          </w:p>
        </w:tc>
        <w:tc>
          <w:tcPr>
            <w:tcW w:w="624" w:type="dxa"/>
          </w:tcPr>
          <w:p w14:paraId="3CB8E781" w14:textId="77777777" w:rsidR="002934B2" w:rsidRDefault="002934B2">
            <w:pPr>
              <w:pStyle w:val="TableText"/>
            </w:pPr>
          </w:p>
        </w:tc>
        <w:tc>
          <w:tcPr>
            <w:tcW w:w="624" w:type="dxa"/>
          </w:tcPr>
          <w:p w14:paraId="1C960E8A" w14:textId="77777777" w:rsidR="002934B2" w:rsidRDefault="002934B2" w:rsidP="00F44C09">
            <w:pPr>
              <w:pStyle w:val="TableText"/>
              <w:numPr>
                <w:ilvl w:val="0"/>
                <w:numId w:val="26"/>
              </w:numPr>
              <w:tabs>
                <w:tab w:val="left" w:pos="624"/>
              </w:tabs>
              <w:jc w:val="both"/>
            </w:pPr>
          </w:p>
        </w:tc>
        <w:tc>
          <w:tcPr>
            <w:tcW w:w="6523" w:type="dxa"/>
            <w:gridSpan w:val="6"/>
          </w:tcPr>
          <w:p w14:paraId="43B89355" w14:textId="39847149" w:rsidR="002934B2" w:rsidRDefault="002934B2">
            <w:pPr>
              <w:pStyle w:val="TableBlock"/>
            </w:pPr>
            <w:r>
              <w:rPr>
                <w:rFonts w:hint="cs"/>
                <w:rtl/>
              </w:rPr>
              <w:t>בכותרת השוליים במקום "התאמה ביטחונית" יבוא "סיווג ביטחוני והתאמה ביטחונית".</w:t>
            </w:r>
          </w:p>
        </w:tc>
      </w:tr>
      <w:tr w:rsidR="002934B2" w14:paraId="6E5EC1A3" w14:textId="77777777" w:rsidTr="002934B2">
        <w:trPr>
          <w:cantSplit/>
          <w:trHeight w:val="60"/>
        </w:trPr>
        <w:tc>
          <w:tcPr>
            <w:tcW w:w="1870" w:type="dxa"/>
          </w:tcPr>
          <w:p w14:paraId="1F2008BD" w14:textId="77777777" w:rsidR="002934B2" w:rsidRDefault="002934B2">
            <w:pPr>
              <w:pStyle w:val="TableSideHeading"/>
            </w:pPr>
          </w:p>
        </w:tc>
        <w:tc>
          <w:tcPr>
            <w:tcW w:w="624" w:type="dxa"/>
          </w:tcPr>
          <w:p w14:paraId="2AFC0298" w14:textId="77777777" w:rsidR="002934B2" w:rsidRDefault="002934B2" w:rsidP="002934B2">
            <w:pPr>
              <w:pStyle w:val="TableText"/>
            </w:pPr>
          </w:p>
        </w:tc>
        <w:tc>
          <w:tcPr>
            <w:tcW w:w="624" w:type="dxa"/>
          </w:tcPr>
          <w:p w14:paraId="20FC4315" w14:textId="77777777" w:rsidR="002934B2" w:rsidRDefault="002934B2" w:rsidP="00F44C09">
            <w:pPr>
              <w:pStyle w:val="TableText"/>
              <w:numPr>
                <w:ilvl w:val="0"/>
                <w:numId w:val="26"/>
              </w:numPr>
              <w:tabs>
                <w:tab w:val="left" w:pos="624"/>
              </w:tabs>
              <w:jc w:val="both"/>
            </w:pPr>
          </w:p>
        </w:tc>
        <w:tc>
          <w:tcPr>
            <w:tcW w:w="6523" w:type="dxa"/>
            <w:gridSpan w:val="6"/>
          </w:tcPr>
          <w:p w14:paraId="08A64982" w14:textId="01CDA693" w:rsidR="002934B2" w:rsidRDefault="002934B2">
            <w:pPr>
              <w:pStyle w:val="TableBlock"/>
              <w:rPr>
                <w:rtl/>
              </w:rPr>
            </w:pPr>
            <w:r>
              <w:rPr>
                <w:rFonts w:hint="cs"/>
                <w:rtl/>
              </w:rPr>
              <w:t>סעיף קטן (א) המקורי יהפוך לסעיף קטן (א1).</w:t>
            </w:r>
          </w:p>
        </w:tc>
      </w:tr>
      <w:tr w:rsidR="002934B2" w14:paraId="694BC253" w14:textId="77777777" w:rsidTr="002934B2">
        <w:trPr>
          <w:cantSplit/>
          <w:trHeight w:val="60"/>
        </w:trPr>
        <w:tc>
          <w:tcPr>
            <w:tcW w:w="1870" w:type="dxa"/>
          </w:tcPr>
          <w:p w14:paraId="710A5660" w14:textId="77777777" w:rsidR="002934B2" w:rsidRDefault="002934B2">
            <w:pPr>
              <w:pStyle w:val="TableSideHeading"/>
            </w:pPr>
          </w:p>
        </w:tc>
        <w:tc>
          <w:tcPr>
            <w:tcW w:w="624" w:type="dxa"/>
          </w:tcPr>
          <w:p w14:paraId="34A09218" w14:textId="77777777" w:rsidR="002934B2" w:rsidRDefault="002934B2" w:rsidP="002934B2">
            <w:pPr>
              <w:pStyle w:val="TableText"/>
            </w:pPr>
          </w:p>
        </w:tc>
        <w:tc>
          <w:tcPr>
            <w:tcW w:w="624" w:type="dxa"/>
          </w:tcPr>
          <w:p w14:paraId="0F1167E2" w14:textId="77777777" w:rsidR="002934B2" w:rsidRDefault="002934B2" w:rsidP="00F44C09">
            <w:pPr>
              <w:pStyle w:val="TableText"/>
              <w:numPr>
                <w:ilvl w:val="0"/>
                <w:numId w:val="26"/>
              </w:numPr>
              <w:tabs>
                <w:tab w:val="left" w:pos="624"/>
              </w:tabs>
              <w:jc w:val="both"/>
            </w:pPr>
          </w:p>
        </w:tc>
        <w:tc>
          <w:tcPr>
            <w:tcW w:w="6523" w:type="dxa"/>
            <w:gridSpan w:val="6"/>
          </w:tcPr>
          <w:p w14:paraId="29CAEF51" w14:textId="4E87250D" w:rsidR="002934B2" w:rsidRDefault="002934B2">
            <w:pPr>
              <w:pStyle w:val="TableBlock"/>
              <w:rPr>
                <w:rtl/>
              </w:rPr>
            </w:pPr>
            <w:r>
              <w:rPr>
                <w:rFonts w:hint="cs"/>
                <w:rtl/>
              </w:rPr>
              <w:t xml:space="preserve">לפני סעיף קטן (א1) יתווסף סעיף קטן (א) חדש </w:t>
            </w:r>
            <w:r>
              <w:rPr>
                <w:rtl/>
              </w:rPr>
              <w:t>–</w:t>
            </w:r>
            <w:r>
              <w:rPr>
                <w:rFonts w:hint="cs"/>
                <w:rtl/>
              </w:rPr>
              <w:t xml:space="preserve"> </w:t>
            </w:r>
          </w:p>
        </w:tc>
      </w:tr>
      <w:tr w:rsidR="002934B2" w14:paraId="260D3702" w14:textId="77777777" w:rsidTr="002934B2">
        <w:trPr>
          <w:cantSplit/>
          <w:trHeight w:val="60"/>
        </w:trPr>
        <w:tc>
          <w:tcPr>
            <w:tcW w:w="1870" w:type="dxa"/>
          </w:tcPr>
          <w:p w14:paraId="55744F2B" w14:textId="77777777" w:rsidR="002934B2" w:rsidRDefault="002934B2">
            <w:pPr>
              <w:pStyle w:val="TableSideHeading"/>
            </w:pPr>
          </w:p>
        </w:tc>
        <w:tc>
          <w:tcPr>
            <w:tcW w:w="624" w:type="dxa"/>
          </w:tcPr>
          <w:p w14:paraId="6A0E1636" w14:textId="77777777" w:rsidR="002934B2" w:rsidRDefault="002934B2">
            <w:pPr>
              <w:pStyle w:val="TableText"/>
            </w:pPr>
          </w:p>
        </w:tc>
        <w:tc>
          <w:tcPr>
            <w:tcW w:w="624" w:type="dxa"/>
          </w:tcPr>
          <w:p w14:paraId="3976FD8B" w14:textId="03D6FDE9" w:rsidR="002934B2" w:rsidRDefault="002934B2">
            <w:pPr>
              <w:pStyle w:val="TableText"/>
            </w:pPr>
          </w:p>
        </w:tc>
        <w:tc>
          <w:tcPr>
            <w:tcW w:w="624" w:type="dxa"/>
          </w:tcPr>
          <w:p w14:paraId="24E994DD" w14:textId="3B8C1444" w:rsidR="002934B2" w:rsidRDefault="002550F5" w:rsidP="002550F5">
            <w:pPr>
              <w:pStyle w:val="TableText"/>
              <w:jc w:val="both"/>
            </w:pPr>
            <w:r>
              <w:rPr>
                <w:rFonts w:hint="cs"/>
                <w:rtl/>
              </w:rPr>
              <w:t xml:space="preserve">"(א) </w:t>
            </w:r>
          </w:p>
        </w:tc>
        <w:tc>
          <w:tcPr>
            <w:tcW w:w="5899" w:type="dxa"/>
            <w:gridSpan w:val="5"/>
          </w:tcPr>
          <w:p w14:paraId="3000B42F" w14:textId="4654C33E" w:rsidR="002934B2" w:rsidRDefault="002934B2" w:rsidP="002934B2">
            <w:pPr>
              <w:pStyle w:val="TableBlock"/>
              <w:tabs>
                <w:tab w:val="clear" w:pos="624"/>
              </w:tabs>
              <w:autoSpaceDE w:val="0"/>
              <w:autoSpaceDN w:val="0"/>
              <w:adjustRightInd w:val="0"/>
              <w:contextualSpacing w:val="0"/>
              <w:textAlignment w:val="center"/>
            </w:pPr>
            <w:r>
              <w:rPr>
                <w:rtl/>
              </w:rPr>
              <w:t>לצורך מילוי תפקידו לפי סעיף 7(ב)(3), השירות יהיה רשאי לקבוע הוראות בדבר סיווג ביטחוני לתפקידים ולמשרות כדלקמן:</w:t>
            </w:r>
          </w:p>
        </w:tc>
      </w:tr>
      <w:tr w:rsidR="002934B2" w14:paraId="4BC6D5F8" w14:textId="77777777" w:rsidTr="002934B2">
        <w:trPr>
          <w:cantSplit/>
          <w:trHeight w:val="60"/>
        </w:trPr>
        <w:tc>
          <w:tcPr>
            <w:tcW w:w="1870" w:type="dxa"/>
          </w:tcPr>
          <w:p w14:paraId="285DEDA3" w14:textId="77777777" w:rsidR="002934B2" w:rsidRDefault="002934B2">
            <w:pPr>
              <w:pStyle w:val="TableSideHeading"/>
            </w:pPr>
          </w:p>
        </w:tc>
        <w:tc>
          <w:tcPr>
            <w:tcW w:w="624" w:type="dxa"/>
          </w:tcPr>
          <w:p w14:paraId="367255A4" w14:textId="77777777" w:rsidR="002934B2" w:rsidRDefault="002934B2">
            <w:pPr>
              <w:pStyle w:val="TableText"/>
            </w:pPr>
          </w:p>
        </w:tc>
        <w:tc>
          <w:tcPr>
            <w:tcW w:w="624" w:type="dxa"/>
          </w:tcPr>
          <w:p w14:paraId="5B4C3CBC" w14:textId="77777777" w:rsidR="002934B2" w:rsidRDefault="002934B2">
            <w:pPr>
              <w:pStyle w:val="TableText"/>
            </w:pPr>
          </w:p>
        </w:tc>
        <w:tc>
          <w:tcPr>
            <w:tcW w:w="624" w:type="dxa"/>
          </w:tcPr>
          <w:p w14:paraId="16C2CF11" w14:textId="77777777" w:rsidR="002934B2" w:rsidRDefault="002934B2">
            <w:pPr>
              <w:pStyle w:val="TableText"/>
            </w:pPr>
          </w:p>
        </w:tc>
        <w:tc>
          <w:tcPr>
            <w:tcW w:w="624" w:type="dxa"/>
          </w:tcPr>
          <w:p w14:paraId="4A8E7FB0" w14:textId="77777777" w:rsidR="002934B2" w:rsidRDefault="002934B2" w:rsidP="00F44C09">
            <w:pPr>
              <w:pStyle w:val="TableText"/>
              <w:numPr>
                <w:ilvl w:val="0"/>
                <w:numId w:val="27"/>
              </w:numPr>
              <w:tabs>
                <w:tab w:val="left" w:pos="624"/>
              </w:tabs>
              <w:jc w:val="both"/>
            </w:pPr>
          </w:p>
        </w:tc>
        <w:tc>
          <w:tcPr>
            <w:tcW w:w="5275" w:type="dxa"/>
            <w:gridSpan w:val="4"/>
          </w:tcPr>
          <w:p w14:paraId="57C56BD6" w14:textId="155039A8" w:rsidR="002934B2" w:rsidRPr="002934B2" w:rsidRDefault="002934B2" w:rsidP="002934B2">
            <w:pPr>
              <w:pStyle w:val="TableBlock"/>
              <w:autoSpaceDE w:val="0"/>
              <w:autoSpaceDN w:val="0"/>
              <w:adjustRightInd w:val="0"/>
              <w:contextualSpacing w:val="0"/>
              <w:textAlignment w:val="center"/>
            </w:pPr>
            <w:r>
              <w:rPr>
                <w:rFonts w:hint="cs"/>
                <w:rtl/>
              </w:rPr>
              <w:t>ת</w:t>
            </w:r>
            <w:r>
              <w:rPr>
                <w:rtl/>
              </w:rPr>
              <w:t>פקידים ומשרות בשירות הציבורי ובגופים אחרים, כפי שקבעה הממשלה, למעט לנבחרי ציבור ולשופטים; לעניין זה: "שופטים" – מי שבידם סמכות שפיטה לפי חוק</w:t>
            </w:r>
            <w:r>
              <w:rPr>
                <w:rFonts w:hint="cs"/>
                <w:rtl/>
              </w:rPr>
              <w:t>-</w:t>
            </w:r>
            <w:r>
              <w:rPr>
                <w:rtl/>
              </w:rPr>
              <w:t>יסוד: השפיטה, למעט מועמדים לשפיטה ולמעט שופט צבאי לפי חוק השיפוט הצבאי, התשט"ו-1955;</w:t>
            </w:r>
          </w:p>
        </w:tc>
      </w:tr>
      <w:tr w:rsidR="002934B2" w14:paraId="06FB7916" w14:textId="77777777" w:rsidTr="002934B2">
        <w:trPr>
          <w:cantSplit/>
          <w:trHeight w:val="60"/>
        </w:trPr>
        <w:tc>
          <w:tcPr>
            <w:tcW w:w="1870" w:type="dxa"/>
          </w:tcPr>
          <w:p w14:paraId="16A2C7D3" w14:textId="77777777" w:rsidR="002934B2" w:rsidRDefault="002934B2">
            <w:pPr>
              <w:pStyle w:val="TableSideHeading"/>
            </w:pPr>
          </w:p>
        </w:tc>
        <w:tc>
          <w:tcPr>
            <w:tcW w:w="624" w:type="dxa"/>
          </w:tcPr>
          <w:p w14:paraId="7DD8A42B" w14:textId="77777777" w:rsidR="002934B2" w:rsidRDefault="002934B2">
            <w:pPr>
              <w:pStyle w:val="TableText"/>
            </w:pPr>
          </w:p>
        </w:tc>
        <w:tc>
          <w:tcPr>
            <w:tcW w:w="624" w:type="dxa"/>
          </w:tcPr>
          <w:p w14:paraId="7B1F0080" w14:textId="77777777" w:rsidR="002934B2" w:rsidRDefault="002934B2">
            <w:pPr>
              <w:pStyle w:val="TableText"/>
            </w:pPr>
          </w:p>
        </w:tc>
        <w:tc>
          <w:tcPr>
            <w:tcW w:w="624" w:type="dxa"/>
          </w:tcPr>
          <w:p w14:paraId="6F632A81" w14:textId="77777777" w:rsidR="002934B2" w:rsidRDefault="002934B2">
            <w:pPr>
              <w:pStyle w:val="TableText"/>
            </w:pPr>
          </w:p>
        </w:tc>
        <w:tc>
          <w:tcPr>
            <w:tcW w:w="624" w:type="dxa"/>
          </w:tcPr>
          <w:p w14:paraId="4A628861" w14:textId="77777777" w:rsidR="002934B2" w:rsidRDefault="002934B2" w:rsidP="00F44C09">
            <w:pPr>
              <w:pStyle w:val="TableText"/>
              <w:numPr>
                <w:ilvl w:val="0"/>
                <w:numId w:val="27"/>
              </w:numPr>
              <w:tabs>
                <w:tab w:val="left" w:pos="624"/>
              </w:tabs>
              <w:jc w:val="both"/>
            </w:pPr>
          </w:p>
        </w:tc>
        <w:tc>
          <w:tcPr>
            <w:tcW w:w="624" w:type="dxa"/>
          </w:tcPr>
          <w:p w14:paraId="4116D245" w14:textId="77777777" w:rsidR="002934B2" w:rsidRDefault="002934B2" w:rsidP="00F44C09">
            <w:pPr>
              <w:pStyle w:val="TableText"/>
              <w:numPr>
                <w:ilvl w:val="0"/>
                <w:numId w:val="28"/>
              </w:numPr>
              <w:tabs>
                <w:tab w:val="left" w:pos="624"/>
              </w:tabs>
              <w:jc w:val="both"/>
            </w:pPr>
          </w:p>
        </w:tc>
        <w:tc>
          <w:tcPr>
            <w:tcW w:w="4651" w:type="dxa"/>
            <w:gridSpan w:val="3"/>
          </w:tcPr>
          <w:p w14:paraId="238D8386" w14:textId="4A1DF922" w:rsidR="002934B2" w:rsidRPr="002934B2" w:rsidRDefault="002934B2" w:rsidP="002934B2">
            <w:pPr>
              <w:pStyle w:val="TableBlock"/>
              <w:autoSpaceDE w:val="0"/>
              <w:autoSpaceDN w:val="0"/>
              <w:adjustRightInd w:val="0"/>
              <w:contextualSpacing w:val="0"/>
              <w:textAlignment w:val="center"/>
            </w:pPr>
            <w:r>
              <w:rPr>
                <w:rtl/>
              </w:rPr>
              <w:t xml:space="preserve">בעל תפקיד בהליך שאחד הצדדים לו שאינו המדינה הוא אדם אשר ביצע או מבצע תפקיד או משרה שסווגו בסיווג בטחוני או </w:t>
            </w:r>
            <w:r>
              <w:rPr>
                <w:rFonts w:hint="cs"/>
                <w:rtl/>
              </w:rPr>
              <w:t>יורשיו</w:t>
            </w:r>
            <w:r>
              <w:rPr>
                <w:rtl/>
              </w:rPr>
              <w:t xml:space="preserve"> של אדם כאמור, ובלבד שראש השירות שוכנע כי התקיימו שני אלה:</w:t>
            </w:r>
          </w:p>
        </w:tc>
      </w:tr>
      <w:tr w:rsidR="002934B2" w14:paraId="4ECD68AC" w14:textId="77777777" w:rsidTr="00353C35">
        <w:trPr>
          <w:cantSplit/>
          <w:trHeight w:val="60"/>
        </w:trPr>
        <w:tc>
          <w:tcPr>
            <w:tcW w:w="1870" w:type="dxa"/>
          </w:tcPr>
          <w:p w14:paraId="7AEB70C7" w14:textId="77777777" w:rsidR="002934B2" w:rsidRDefault="002934B2">
            <w:pPr>
              <w:pStyle w:val="TableSideHeading"/>
            </w:pPr>
          </w:p>
        </w:tc>
        <w:tc>
          <w:tcPr>
            <w:tcW w:w="624" w:type="dxa"/>
          </w:tcPr>
          <w:p w14:paraId="355283EB" w14:textId="77777777" w:rsidR="002934B2" w:rsidRDefault="002934B2">
            <w:pPr>
              <w:pStyle w:val="TableText"/>
            </w:pPr>
          </w:p>
        </w:tc>
        <w:tc>
          <w:tcPr>
            <w:tcW w:w="624" w:type="dxa"/>
          </w:tcPr>
          <w:p w14:paraId="399BB180" w14:textId="77777777" w:rsidR="002934B2" w:rsidRDefault="002934B2">
            <w:pPr>
              <w:pStyle w:val="TableText"/>
            </w:pPr>
          </w:p>
        </w:tc>
        <w:tc>
          <w:tcPr>
            <w:tcW w:w="624" w:type="dxa"/>
          </w:tcPr>
          <w:p w14:paraId="24F56141" w14:textId="77777777" w:rsidR="002934B2" w:rsidRDefault="002934B2">
            <w:pPr>
              <w:pStyle w:val="TableText"/>
            </w:pPr>
          </w:p>
        </w:tc>
        <w:tc>
          <w:tcPr>
            <w:tcW w:w="624" w:type="dxa"/>
          </w:tcPr>
          <w:p w14:paraId="74A0C7B6" w14:textId="77777777" w:rsidR="002934B2" w:rsidRDefault="002934B2">
            <w:pPr>
              <w:pStyle w:val="TableText"/>
            </w:pPr>
          </w:p>
        </w:tc>
        <w:tc>
          <w:tcPr>
            <w:tcW w:w="624" w:type="dxa"/>
          </w:tcPr>
          <w:p w14:paraId="571A8DCC" w14:textId="77777777" w:rsidR="002934B2" w:rsidRDefault="002934B2">
            <w:pPr>
              <w:pStyle w:val="TableText"/>
            </w:pPr>
          </w:p>
        </w:tc>
        <w:tc>
          <w:tcPr>
            <w:tcW w:w="624" w:type="dxa"/>
          </w:tcPr>
          <w:p w14:paraId="30BEAE8A" w14:textId="77777777" w:rsidR="002934B2" w:rsidRDefault="002934B2" w:rsidP="00F44C09">
            <w:pPr>
              <w:pStyle w:val="TableText"/>
              <w:numPr>
                <w:ilvl w:val="0"/>
                <w:numId w:val="29"/>
              </w:numPr>
              <w:tabs>
                <w:tab w:val="left" w:pos="624"/>
              </w:tabs>
              <w:jc w:val="both"/>
            </w:pPr>
          </w:p>
        </w:tc>
        <w:tc>
          <w:tcPr>
            <w:tcW w:w="4027" w:type="dxa"/>
            <w:gridSpan w:val="2"/>
          </w:tcPr>
          <w:p w14:paraId="1E3ABF66" w14:textId="3AB754CD" w:rsidR="002934B2" w:rsidRPr="00865637" w:rsidRDefault="00865637" w:rsidP="00865637">
            <w:pPr>
              <w:pStyle w:val="TableBlock"/>
              <w:autoSpaceDE w:val="0"/>
              <w:autoSpaceDN w:val="0"/>
              <w:adjustRightInd w:val="0"/>
              <w:contextualSpacing w:val="0"/>
              <w:textAlignment w:val="center"/>
            </w:pPr>
            <w:r>
              <w:rPr>
                <w:rtl/>
              </w:rPr>
              <w:t>האדם האמור נחשף במסגרת מילוי תפקידו למידע מסווג הנדרש לצורך הכרעה בהליך  או שמידע מסווג אחר הנוגע לו במישרין, בהקשרי התפקיד או המשרה אותם ביצע, נדרש לצורך הכרעה בהליך;</w:t>
            </w:r>
          </w:p>
        </w:tc>
      </w:tr>
      <w:tr w:rsidR="00865637" w14:paraId="080D023E" w14:textId="77777777" w:rsidTr="00353C35">
        <w:trPr>
          <w:cantSplit/>
          <w:trHeight w:val="60"/>
        </w:trPr>
        <w:tc>
          <w:tcPr>
            <w:tcW w:w="1870" w:type="dxa"/>
          </w:tcPr>
          <w:p w14:paraId="500C02CB" w14:textId="77777777" w:rsidR="00865637" w:rsidRDefault="00865637">
            <w:pPr>
              <w:pStyle w:val="TableSideHeading"/>
            </w:pPr>
          </w:p>
        </w:tc>
        <w:tc>
          <w:tcPr>
            <w:tcW w:w="624" w:type="dxa"/>
          </w:tcPr>
          <w:p w14:paraId="77D40D98" w14:textId="77777777" w:rsidR="00865637" w:rsidRDefault="00865637" w:rsidP="00865637">
            <w:pPr>
              <w:pStyle w:val="TableText"/>
            </w:pPr>
          </w:p>
        </w:tc>
        <w:tc>
          <w:tcPr>
            <w:tcW w:w="624" w:type="dxa"/>
          </w:tcPr>
          <w:p w14:paraId="1D1A76FC" w14:textId="77777777" w:rsidR="00865637" w:rsidRDefault="00865637">
            <w:pPr>
              <w:pStyle w:val="TableText"/>
            </w:pPr>
          </w:p>
        </w:tc>
        <w:tc>
          <w:tcPr>
            <w:tcW w:w="624" w:type="dxa"/>
          </w:tcPr>
          <w:p w14:paraId="1B535147" w14:textId="77777777" w:rsidR="00865637" w:rsidRDefault="00865637">
            <w:pPr>
              <w:pStyle w:val="TableText"/>
            </w:pPr>
          </w:p>
        </w:tc>
        <w:tc>
          <w:tcPr>
            <w:tcW w:w="624" w:type="dxa"/>
          </w:tcPr>
          <w:p w14:paraId="6661DF51" w14:textId="77777777" w:rsidR="00865637" w:rsidRDefault="00865637">
            <w:pPr>
              <w:pStyle w:val="TableText"/>
            </w:pPr>
          </w:p>
        </w:tc>
        <w:tc>
          <w:tcPr>
            <w:tcW w:w="624" w:type="dxa"/>
          </w:tcPr>
          <w:p w14:paraId="53C10E0D" w14:textId="77777777" w:rsidR="00865637" w:rsidRDefault="00865637">
            <w:pPr>
              <w:pStyle w:val="TableText"/>
            </w:pPr>
          </w:p>
        </w:tc>
        <w:tc>
          <w:tcPr>
            <w:tcW w:w="624" w:type="dxa"/>
          </w:tcPr>
          <w:p w14:paraId="3044EA95" w14:textId="77777777" w:rsidR="00865637" w:rsidRDefault="00865637" w:rsidP="00F44C09">
            <w:pPr>
              <w:pStyle w:val="TableText"/>
              <w:numPr>
                <w:ilvl w:val="0"/>
                <w:numId w:val="29"/>
              </w:numPr>
              <w:tabs>
                <w:tab w:val="left" w:pos="624"/>
              </w:tabs>
              <w:jc w:val="both"/>
            </w:pPr>
          </w:p>
        </w:tc>
        <w:tc>
          <w:tcPr>
            <w:tcW w:w="4027" w:type="dxa"/>
            <w:gridSpan w:val="2"/>
          </w:tcPr>
          <w:p w14:paraId="5EE81225" w14:textId="259B4DEC" w:rsidR="00865637" w:rsidRPr="00865637" w:rsidRDefault="00865637" w:rsidP="00865637">
            <w:pPr>
              <w:pStyle w:val="TableBlock"/>
              <w:autoSpaceDE w:val="0"/>
              <w:autoSpaceDN w:val="0"/>
              <w:adjustRightInd w:val="0"/>
              <w:contextualSpacing w:val="0"/>
              <w:textAlignment w:val="center"/>
              <w:rPr>
                <w:rtl/>
              </w:rPr>
            </w:pPr>
            <w:r>
              <w:rPr>
                <w:rtl/>
              </w:rPr>
              <w:t>מילוי התפקיד בהליך מחייב חשיפה למידע המסווג האמור.</w:t>
            </w:r>
          </w:p>
        </w:tc>
      </w:tr>
      <w:tr w:rsidR="00865637" w14:paraId="3CF824D2" w14:textId="77777777" w:rsidTr="00353C35">
        <w:trPr>
          <w:cantSplit/>
          <w:trHeight w:val="60"/>
        </w:trPr>
        <w:tc>
          <w:tcPr>
            <w:tcW w:w="1870" w:type="dxa"/>
          </w:tcPr>
          <w:p w14:paraId="52092D80" w14:textId="77777777" w:rsidR="00865637" w:rsidRDefault="00865637">
            <w:pPr>
              <w:pStyle w:val="TableSideHeading"/>
            </w:pPr>
          </w:p>
        </w:tc>
        <w:tc>
          <w:tcPr>
            <w:tcW w:w="624" w:type="dxa"/>
          </w:tcPr>
          <w:p w14:paraId="45236E60" w14:textId="77777777" w:rsidR="00865637" w:rsidRDefault="00865637">
            <w:pPr>
              <w:pStyle w:val="TableText"/>
            </w:pPr>
          </w:p>
        </w:tc>
        <w:tc>
          <w:tcPr>
            <w:tcW w:w="624" w:type="dxa"/>
          </w:tcPr>
          <w:p w14:paraId="7B4E41C5" w14:textId="77777777" w:rsidR="00865637" w:rsidRDefault="00865637">
            <w:pPr>
              <w:pStyle w:val="TableText"/>
            </w:pPr>
          </w:p>
        </w:tc>
        <w:tc>
          <w:tcPr>
            <w:tcW w:w="624" w:type="dxa"/>
          </w:tcPr>
          <w:p w14:paraId="043E2E29" w14:textId="77777777" w:rsidR="00865637" w:rsidRDefault="00865637">
            <w:pPr>
              <w:pStyle w:val="TableText"/>
            </w:pPr>
          </w:p>
        </w:tc>
        <w:tc>
          <w:tcPr>
            <w:tcW w:w="624" w:type="dxa"/>
          </w:tcPr>
          <w:p w14:paraId="607D9DA7" w14:textId="77777777" w:rsidR="00865637" w:rsidRDefault="00865637">
            <w:pPr>
              <w:pStyle w:val="TableText"/>
            </w:pPr>
          </w:p>
        </w:tc>
        <w:tc>
          <w:tcPr>
            <w:tcW w:w="624" w:type="dxa"/>
          </w:tcPr>
          <w:p w14:paraId="4E1609CD" w14:textId="20CEAD10" w:rsidR="00865637" w:rsidRDefault="00865637" w:rsidP="00F44C09">
            <w:pPr>
              <w:pStyle w:val="TableText"/>
              <w:numPr>
                <w:ilvl w:val="0"/>
                <w:numId w:val="28"/>
              </w:numPr>
              <w:tabs>
                <w:tab w:val="left" w:pos="624"/>
              </w:tabs>
              <w:jc w:val="both"/>
            </w:pPr>
          </w:p>
        </w:tc>
        <w:tc>
          <w:tcPr>
            <w:tcW w:w="4651" w:type="dxa"/>
            <w:gridSpan w:val="3"/>
          </w:tcPr>
          <w:p w14:paraId="3E82DA29" w14:textId="7368F6F0" w:rsidR="00865637" w:rsidRDefault="00865637">
            <w:pPr>
              <w:pStyle w:val="TableBlock"/>
            </w:pPr>
            <w:r>
              <w:rPr>
                <w:rtl/>
              </w:rPr>
              <w:t>ביצוע הליך התאמה ביטחונית לבעל תפקיד כאמור יותנה בהסכמתו; לעניין זה: "הליך" – הליך שיפוטי, הליך מעין שיפוטי, הליך מנהלי, או הליך אחר ליישוב סכסוכים, וכן הליך בפני ועדת חקירה מכוח חוק ועדות חקירה, התשכ"ט-1969.</w:t>
            </w:r>
            <w:r w:rsidR="002550F5">
              <w:rPr>
                <w:rFonts w:hint="cs"/>
                <w:rtl/>
              </w:rPr>
              <w:t>".</w:t>
            </w:r>
          </w:p>
        </w:tc>
      </w:tr>
      <w:tr w:rsidR="00353C35" w14:paraId="1FDF1C80" w14:textId="77777777" w:rsidTr="00353C35">
        <w:trPr>
          <w:cantSplit/>
          <w:trHeight w:val="60"/>
        </w:trPr>
        <w:tc>
          <w:tcPr>
            <w:tcW w:w="1870" w:type="dxa"/>
          </w:tcPr>
          <w:p w14:paraId="10236C5D" w14:textId="77777777" w:rsidR="00353C35" w:rsidRDefault="00353C35">
            <w:pPr>
              <w:pStyle w:val="TableSideHeading"/>
            </w:pPr>
          </w:p>
        </w:tc>
        <w:tc>
          <w:tcPr>
            <w:tcW w:w="624" w:type="dxa"/>
          </w:tcPr>
          <w:p w14:paraId="3A00E9D4" w14:textId="77777777" w:rsidR="00353C35" w:rsidRDefault="00353C35">
            <w:pPr>
              <w:pStyle w:val="TableText"/>
            </w:pPr>
          </w:p>
        </w:tc>
        <w:tc>
          <w:tcPr>
            <w:tcW w:w="624" w:type="dxa"/>
          </w:tcPr>
          <w:p w14:paraId="50172CC7" w14:textId="61080F8B" w:rsidR="00353C35" w:rsidRDefault="00353C35" w:rsidP="00353C35">
            <w:pPr>
              <w:pStyle w:val="TableText"/>
            </w:pPr>
            <w:r w:rsidRPr="00353C35">
              <w:rPr>
                <w:rFonts w:hint="cs"/>
                <w:rtl/>
              </w:rPr>
              <w:t>(4</w:t>
            </w:r>
            <w:r>
              <w:rPr>
                <w:rtl/>
              </w:rPr>
              <w:t xml:space="preserve">) </w:t>
            </w:r>
          </w:p>
        </w:tc>
        <w:tc>
          <w:tcPr>
            <w:tcW w:w="6523" w:type="dxa"/>
            <w:gridSpan w:val="6"/>
          </w:tcPr>
          <w:p w14:paraId="241DA211" w14:textId="5B657B9C" w:rsidR="00353C35" w:rsidRDefault="00353C35">
            <w:pPr>
              <w:pStyle w:val="TableBlock"/>
            </w:pPr>
            <w:r>
              <w:rPr>
                <w:rFonts w:hint="cs"/>
                <w:rtl/>
              </w:rPr>
              <w:t xml:space="preserve">בסעיף קטן (ב) בפסקה (2) </w:t>
            </w:r>
            <w:r>
              <w:rPr>
                <w:rtl/>
              </w:rPr>
              <w:t>–</w:t>
            </w:r>
            <w:r>
              <w:rPr>
                <w:rFonts w:hint="cs"/>
                <w:rtl/>
              </w:rPr>
              <w:t xml:space="preserve"> </w:t>
            </w:r>
          </w:p>
        </w:tc>
      </w:tr>
      <w:tr w:rsidR="00353C35" w14:paraId="638D2BC6" w14:textId="77777777" w:rsidTr="00353C35">
        <w:trPr>
          <w:cantSplit/>
          <w:trHeight w:val="60"/>
        </w:trPr>
        <w:tc>
          <w:tcPr>
            <w:tcW w:w="1870" w:type="dxa"/>
          </w:tcPr>
          <w:p w14:paraId="5F43EA09" w14:textId="77777777" w:rsidR="00353C35" w:rsidRDefault="00353C35">
            <w:pPr>
              <w:pStyle w:val="TableSideHeading"/>
            </w:pPr>
          </w:p>
        </w:tc>
        <w:tc>
          <w:tcPr>
            <w:tcW w:w="624" w:type="dxa"/>
          </w:tcPr>
          <w:p w14:paraId="4B76375B" w14:textId="77777777" w:rsidR="00353C35" w:rsidRDefault="00353C35">
            <w:pPr>
              <w:pStyle w:val="TableText"/>
            </w:pPr>
          </w:p>
        </w:tc>
        <w:tc>
          <w:tcPr>
            <w:tcW w:w="624" w:type="dxa"/>
          </w:tcPr>
          <w:p w14:paraId="113680F8" w14:textId="77777777" w:rsidR="00353C35" w:rsidRDefault="00353C35">
            <w:pPr>
              <w:pStyle w:val="TableText"/>
            </w:pPr>
          </w:p>
        </w:tc>
        <w:tc>
          <w:tcPr>
            <w:tcW w:w="624" w:type="dxa"/>
          </w:tcPr>
          <w:p w14:paraId="72FE5493" w14:textId="77777777" w:rsidR="00353C35" w:rsidRDefault="00353C35" w:rsidP="00F44C09">
            <w:pPr>
              <w:pStyle w:val="TableText"/>
              <w:numPr>
                <w:ilvl w:val="0"/>
                <w:numId w:val="30"/>
              </w:numPr>
              <w:tabs>
                <w:tab w:val="left" w:pos="624"/>
              </w:tabs>
              <w:jc w:val="both"/>
            </w:pPr>
          </w:p>
        </w:tc>
        <w:tc>
          <w:tcPr>
            <w:tcW w:w="5899" w:type="dxa"/>
            <w:gridSpan w:val="5"/>
          </w:tcPr>
          <w:p w14:paraId="21FF8B3B" w14:textId="777EBA2D" w:rsidR="00353C35" w:rsidRPr="00353C35" w:rsidRDefault="00353C35" w:rsidP="00353C35">
            <w:pPr>
              <w:pStyle w:val="TableBlock"/>
              <w:autoSpaceDE w:val="0"/>
              <w:autoSpaceDN w:val="0"/>
              <w:adjustRightInd w:val="0"/>
              <w:contextualSpacing w:val="0"/>
              <w:textAlignment w:val="center"/>
            </w:pPr>
            <w:r w:rsidRPr="00345FD8">
              <w:rPr>
                <w:rFonts w:hint="cs"/>
                <w:rtl/>
              </w:rPr>
              <w:t>אחרי "</w:t>
            </w:r>
            <w:r>
              <w:rPr>
                <w:rFonts w:hint="cs"/>
                <w:rtl/>
              </w:rPr>
              <w:t>הוראות לעניין הודעה</w:t>
            </w:r>
            <w:r w:rsidRPr="00345FD8">
              <w:rPr>
                <w:rFonts w:hint="cs"/>
                <w:rtl/>
              </w:rPr>
              <w:t>"</w:t>
            </w:r>
            <w:r>
              <w:rPr>
                <w:rFonts w:hint="cs"/>
                <w:rtl/>
              </w:rPr>
              <w:t xml:space="preserve"> </w:t>
            </w:r>
            <w:r w:rsidRPr="009C2880">
              <w:rPr>
                <w:rtl/>
              </w:rPr>
              <w:t>–</w:t>
            </w:r>
            <w:r w:rsidRPr="00345FD8">
              <w:rPr>
                <w:rFonts w:hint="cs"/>
                <w:rtl/>
              </w:rPr>
              <w:t xml:space="preserve"> יימחק "</w:t>
            </w:r>
            <w:r>
              <w:rPr>
                <w:rFonts w:hint="cs"/>
                <w:rtl/>
              </w:rPr>
              <w:t>למעביד</w:t>
            </w:r>
            <w:r w:rsidRPr="00345FD8">
              <w:rPr>
                <w:rFonts w:hint="cs"/>
                <w:rtl/>
              </w:rPr>
              <w:t>", ויבוא "</w:t>
            </w:r>
            <w:r>
              <w:rPr>
                <w:rFonts w:hint="cs"/>
                <w:rtl/>
              </w:rPr>
              <w:t>למעסיק</w:t>
            </w:r>
            <w:r w:rsidRPr="00345FD8">
              <w:rPr>
                <w:rFonts w:hint="cs"/>
                <w:rtl/>
              </w:rPr>
              <w:t>";</w:t>
            </w:r>
          </w:p>
        </w:tc>
      </w:tr>
      <w:tr w:rsidR="00353C35" w14:paraId="2A66303B" w14:textId="77777777" w:rsidTr="00353C35">
        <w:trPr>
          <w:cantSplit/>
          <w:trHeight w:val="60"/>
        </w:trPr>
        <w:tc>
          <w:tcPr>
            <w:tcW w:w="1870" w:type="dxa"/>
          </w:tcPr>
          <w:p w14:paraId="10B6A205" w14:textId="77777777" w:rsidR="00353C35" w:rsidRDefault="00353C35">
            <w:pPr>
              <w:pStyle w:val="TableSideHeading"/>
            </w:pPr>
          </w:p>
        </w:tc>
        <w:tc>
          <w:tcPr>
            <w:tcW w:w="624" w:type="dxa"/>
          </w:tcPr>
          <w:p w14:paraId="49724B1E" w14:textId="77777777" w:rsidR="00353C35" w:rsidRDefault="00353C35" w:rsidP="00353C35">
            <w:pPr>
              <w:pStyle w:val="TableText"/>
            </w:pPr>
          </w:p>
        </w:tc>
        <w:tc>
          <w:tcPr>
            <w:tcW w:w="624" w:type="dxa"/>
          </w:tcPr>
          <w:p w14:paraId="40B8ABAB" w14:textId="77777777" w:rsidR="00353C35" w:rsidRDefault="00353C35">
            <w:pPr>
              <w:pStyle w:val="TableText"/>
            </w:pPr>
          </w:p>
        </w:tc>
        <w:tc>
          <w:tcPr>
            <w:tcW w:w="624" w:type="dxa"/>
          </w:tcPr>
          <w:p w14:paraId="079E9CEF" w14:textId="77777777" w:rsidR="00353C35" w:rsidRDefault="00353C35" w:rsidP="00F44C09">
            <w:pPr>
              <w:pStyle w:val="TableText"/>
              <w:numPr>
                <w:ilvl w:val="0"/>
                <w:numId w:val="30"/>
              </w:numPr>
              <w:tabs>
                <w:tab w:val="left" w:pos="624"/>
              </w:tabs>
              <w:jc w:val="both"/>
            </w:pPr>
          </w:p>
        </w:tc>
        <w:tc>
          <w:tcPr>
            <w:tcW w:w="5899" w:type="dxa"/>
            <w:gridSpan w:val="5"/>
          </w:tcPr>
          <w:p w14:paraId="6AF7402F" w14:textId="316C7FD5" w:rsidR="00353C35" w:rsidRPr="00345FD8" w:rsidRDefault="00353C35" w:rsidP="00353C35">
            <w:pPr>
              <w:pStyle w:val="TableBlock"/>
              <w:autoSpaceDE w:val="0"/>
              <w:autoSpaceDN w:val="0"/>
              <w:adjustRightInd w:val="0"/>
              <w:contextualSpacing w:val="0"/>
              <w:textAlignment w:val="center"/>
              <w:rPr>
                <w:rtl/>
              </w:rPr>
            </w:pPr>
            <w:r>
              <w:rPr>
                <w:rFonts w:hint="cs"/>
                <w:rtl/>
              </w:rPr>
              <w:t xml:space="preserve">אחרי "דרישות סיווג ביטחוני" </w:t>
            </w:r>
            <w:r w:rsidRPr="009C2880">
              <w:rPr>
                <w:rtl/>
              </w:rPr>
              <w:t>–</w:t>
            </w:r>
            <w:r>
              <w:rPr>
                <w:rFonts w:hint="cs"/>
                <w:rtl/>
              </w:rPr>
              <w:t xml:space="preserve"> יימחק "לעובדיו", ויבוא "למועסקיו".</w:t>
            </w:r>
          </w:p>
        </w:tc>
      </w:tr>
      <w:tr w:rsidR="00353C35" w14:paraId="67B250E8" w14:textId="77777777" w:rsidTr="00353C35">
        <w:trPr>
          <w:cantSplit/>
          <w:trHeight w:val="60"/>
        </w:trPr>
        <w:tc>
          <w:tcPr>
            <w:tcW w:w="1870" w:type="dxa"/>
          </w:tcPr>
          <w:p w14:paraId="63A71F3F" w14:textId="4DCC056F" w:rsidR="00353C35" w:rsidRDefault="00353C35" w:rsidP="007E751D">
            <w:pPr>
              <w:pStyle w:val="TableSideHeading"/>
              <w:keepLines w:val="0"/>
            </w:pPr>
            <w:r>
              <w:rPr>
                <w:rFonts w:hint="cs"/>
                <w:rtl/>
              </w:rPr>
              <w:t>תיקון סעיף 19</w:t>
            </w:r>
          </w:p>
        </w:tc>
        <w:tc>
          <w:tcPr>
            <w:tcW w:w="624" w:type="dxa"/>
          </w:tcPr>
          <w:p w14:paraId="1D66A03C" w14:textId="78A5658F" w:rsidR="00353C35" w:rsidRDefault="00353C35" w:rsidP="00353C35">
            <w:pPr>
              <w:pStyle w:val="TableText"/>
              <w:keepLines w:val="0"/>
              <w:tabs>
                <w:tab w:val="clear" w:pos="624"/>
              </w:tabs>
            </w:pPr>
            <w:r>
              <w:rPr>
                <w:rFonts w:hint="cs"/>
                <w:rtl/>
              </w:rPr>
              <w:t xml:space="preserve">13. </w:t>
            </w:r>
          </w:p>
        </w:tc>
        <w:tc>
          <w:tcPr>
            <w:tcW w:w="7147" w:type="dxa"/>
            <w:gridSpan w:val="7"/>
          </w:tcPr>
          <w:p w14:paraId="051DEA4D" w14:textId="755B2B95" w:rsidR="00353C35" w:rsidRPr="00C34DE2" w:rsidRDefault="00353C35" w:rsidP="007E751D">
            <w:pPr>
              <w:pStyle w:val="TableBlock"/>
              <w:keepLines w:val="0"/>
            </w:pPr>
            <w:r>
              <w:rPr>
                <w:rFonts w:hint="cs"/>
                <w:rtl/>
              </w:rPr>
              <w:t xml:space="preserve">בסעיף 19(א)(1) לחוק העיקרי </w:t>
            </w:r>
            <w:r w:rsidRPr="0011218E">
              <w:rPr>
                <w:rFonts w:hint="cs"/>
                <w:rtl/>
              </w:rPr>
              <w:t>אחרי "נוהלי השירות" יבוא "דיווחים, היתרים</w:t>
            </w:r>
            <w:r>
              <w:rPr>
                <w:rFonts w:hint="cs"/>
                <w:rtl/>
              </w:rPr>
              <w:t>, הסמכות</w:t>
            </w:r>
            <w:r w:rsidRPr="0011218E">
              <w:rPr>
                <w:rFonts w:hint="cs"/>
                <w:rtl/>
              </w:rPr>
              <w:t>".</w:t>
            </w:r>
          </w:p>
        </w:tc>
      </w:tr>
      <w:tr w:rsidR="00353C35" w14:paraId="6C0E1DEE" w14:textId="77777777" w:rsidTr="00353C35">
        <w:trPr>
          <w:cantSplit/>
          <w:trHeight w:val="60"/>
        </w:trPr>
        <w:tc>
          <w:tcPr>
            <w:tcW w:w="1870" w:type="dxa"/>
          </w:tcPr>
          <w:p w14:paraId="61169653" w14:textId="27710A8A" w:rsidR="00353C35" w:rsidRDefault="00353C35" w:rsidP="007E751D">
            <w:pPr>
              <w:pStyle w:val="TableSideHeading"/>
              <w:keepLines w:val="0"/>
              <w:rPr>
                <w:rtl/>
              </w:rPr>
            </w:pPr>
            <w:r>
              <w:rPr>
                <w:rFonts w:hint="cs"/>
                <w:rtl/>
              </w:rPr>
              <w:t>תיקון סעיף 22</w:t>
            </w:r>
          </w:p>
        </w:tc>
        <w:tc>
          <w:tcPr>
            <w:tcW w:w="624" w:type="dxa"/>
          </w:tcPr>
          <w:p w14:paraId="3A91CFC9" w14:textId="7C3A328C" w:rsidR="00353C35" w:rsidRDefault="00353C35" w:rsidP="00353C35">
            <w:pPr>
              <w:pStyle w:val="TableText"/>
              <w:rPr>
                <w:rtl/>
              </w:rPr>
            </w:pPr>
            <w:r>
              <w:rPr>
                <w:rFonts w:hint="cs"/>
                <w:rtl/>
              </w:rPr>
              <w:t xml:space="preserve">14. </w:t>
            </w:r>
          </w:p>
        </w:tc>
        <w:tc>
          <w:tcPr>
            <w:tcW w:w="7147" w:type="dxa"/>
            <w:gridSpan w:val="7"/>
          </w:tcPr>
          <w:p w14:paraId="06DD1F80" w14:textId="168F9E77" w:rsidR="00353C35" w:rsidRDefault="00353C35" w:rsidP="007E751D">
            <w:pPr>
              <w:pStyle w:val="TableBlock"/>
              <w:keepLines w:val="0"/>
              <w:rPr>
                <w:rtl/>
              </w:rPr>
            </w:pPr>
            <w:r>
              <w:rPr>
                <w:rFonts w:hint="cs"/>
                <w:rtl/>
              </w:rPr>
              <w:t>בסעיף 22 (א) לחוק העיקרי במקום "ונוהלי השירות" יבוא "נוהלי השירות, דיווחים, היתרים והסמכות".</w:t>
            </w:r>
          </w:p>
        </w:tc>
      </w:tr>
      <w:tr w:rsidR="00353C35" w14:paraId="6E1C057B" w14:textId="77777777" w:rsidTr="00353C35">
        <w:trPr>
          <w:cantSplit/>
          <w:trHeight w:val="60"/>
        </w:trPr>
        <w:tc>
          <w:tcPr>
            <w:tcW w:w="1870" w:type="dxa"/>
          </w:tcPr>
          <w:p w14:paraId="6C2F2417" w14:textId="01D0E3E2" w:rsidR="00353C35" w:rsidRDefault="00353C35" w:rsidP="007E751D">
            <w:pPr>
              <w:pStyle w:val="TableSideHeading"/>
              <w:keepLines w:val="0"/>
              <w:rPr>
                <w:rtl/>
              </w:rPr>
            </w:pPr>
            <w:r>
              <w:rPr>
                <w:rFonts w:hint="cs"/>
                <w:rtl/>
              </w:rPr>
              <w:t>הוראת מעבר</w:t>
            </w:r>
          </w:p>
        </w:tc>
        <w:tc>
          <w:tcPr>
            <w:tcW w:w="624" w:type="dxa"/>
          </w:tcPr>
          <w:p w14:paraId="67887938" w14:textId="3985494C" w:rsidR="00353C35" w:rsidRDefault="00353C35" w:rsidP="00353C35">
            <w:pPr>
              <w:pStyle w:val="TableText"/>
              <w:rPr>
                <w:rtl/>
              </w:rPr>
            </w:pPr>
            <w:r>
              <w:rPr>
                <w:rFonts w:hint="cs"/>
                <w:rtl/>
              </w:rPr>
              <w:t xml:space="preserve">15. </w:t>
            </w:r>
          </w:p>
        </w:tc>
        <w:tc>
          <w:tcPr>
            <w:tcW w:w="7147" w:type="dxa"/>
            <w:gridSpan w:val="7"/>
          </w:tcPr>
          <w:p w14:paraId="799F44B6" w14:textId="5984D736" w:rsidR="00353C35" w:rsidRDefault="00353C35" w:rsidP="007E751D">
            <w:pPr>
              <w:pStyle w:val="TableBlock"/>
              <w:keepLines w:val="0"/>
              <w:rPr>
                <w:rtl/>
              </w:rPr>
            </w:pPr>
            <w:r>
              <w:rPr>
                <w:rFonts w:ascii="David" w:hAnsi="David" w:hint="cs"/>
                <w:sz w:val="26"/>
                <w:rtl/>
              </w:rPr>
              <w:t>"</w:t>
            </w:r>
            <w:r w:rsidRPr="00D61D79">
              <w:rPr>
                <w:rFonts w:ascii="David" w:hAnsi="David"/>
                <w:sz w:val="26"/>
                <w:rtl/>
              </w:rPr>
              <w:t xml:space="preserve">הודעה </w:t>
            </w:r>
            <w:r w:rsidRPr="00D61D79">
              <w:rPr>
                <w:rFonts w:ascii="David" w:hAnsi="David" w:hint="cs"/>
                <w:sz w:val="26"/>
                <w:rtl/>
              </w:rPr>
              <w:t>שהוצאה</w:t>
            </w:r>
            <w:r w:rsidRPr="00D61D79">
              <w:rPr>
                <w:rFonts w:ascii="David" w:hAnsi="David"/>
                <w:sz w:val="26"/>
                <w:rtl/>
              </w:rPr>
              <w:t xml:space="preserve"> </w:t>
            </w:r>
            <w:r w:rsidRPr="00D61D79">
              <w:rPr>
                <w:rFonts w:ascii="David" w:hAnsi="David" w:hint="cs"/>
                <w:sz w:val="26"/>
                <w:rtl/>
              </w:rPr>
              <w:t>לספק מורשה</w:t>
            </w:r>
            <w:r w:rsidRPr="00D61D79">
              <w:rPr>
                <w:rFonts w:ascii="David" w:hAnsi="David"/>
                <w:sz w:val="26"/>
                <w:rtl/>
              </w:rPr>
              <w:t xml:space="preserve"> מכוח סעיף 11 לחוק כנוסחו ערב תחילתו של </w:t>
            </w:r>
            <w:r w:rsidRPr="00D61D79">
              <w:rPr>
                <w:rFonts w:ascii="David" w:hAnsi="David" w:hint="cs"/>
                <w:sz w:val="26"/>
                <w:rtl/>
              </w:rPr>
              <w:t xml:space="preserve">תיקון </w:t>
            </w:r>
            <w:r w:rsidRPr="00D61D79">
              <w:rPr>
                <w:rFonts w:ascii="David" w:hAnsi="David"/>
                <w:sz w:val="26"/>
                <w:rtl/>
              </w:rPr>
              <w:t>זה תעמוד בתוקפה למשך שנה</w:t>
            </w:r>
            <w:r w:rsidRPr="00D61D79">
              <w:rPr>
                <w:rFonts w:ascii="David" w:hAnsi="David" w:hint="cs"/>
                <w:sz w:val="26"/>
                <w:rtl/>
              </w:rPr>
              <w:t>, לכל היותר,</w:t>
            </w:r>
            <w:r w:rsidRPr="00D61D79">
              <w:rPr>
                <w:rFonts w:ascii="David" w:hAnsi="David"/>
                <w:sz w:val="26"/>
                <w:rtl/>
              </w:rPr>
              <w:t xml:space="preserve"> או עד למתן </w:t>
            </w:r>
            <w:r>
              <w:rPr>
                <w:rFonts w:ascii="David" w:hAnsi="David" w:hint="cs"/>
                <w:sz w:val="26"/>
                <w:rtl/>
              </w:rPr>
              <w:t>הודעה</w:t>
            </w:r>
            <w:r w:rsidRPr="00D61D79">
              <w:rPr>
                <w:rFonts w:ascii="David" w:hAnsi="David"/>
                <w:sz w:val="26"/>
                <w:rtl/>
              </w:rPr>
              <w:t xml:space="preserve"> לאותו בעל רישיון לפי סעיף 11</w:t>
            </w:r>
            <w:r w:rsidRPr="00D61D79">
              <w:rPr>
                <w:rFonts w:ascii="David" w:hAnsi="David" w:hint="cs"/>
                <w:sz w:val="26"/>
                <w:rtl/>
              </w:rPr>
              <w:t xml:space="preserve"> המתוקן,</w:t>
            </w:r>
            <w:r w:rsidRPr="00D61D79">
              <w:rPr>
                <w:rFonts w:ascii="David" w:hAnsi="David"/>
                <w:sz w:val="26"/>
                <w:rtl/>
              </w:rPr>
              <w:t xml:space="preserve"> לפי המוקדם </w:t>
            </w:r>
            <w:proofErr w:type="spellStart"/>
            <w:r w:rsidRPr="00D61D79">
              <w:rPr>
                <w:rFonts w:ascii="David" w:hAnsi="David"/>
                <w:sz w:val="26"/>
                <w:rtl/>
              </w:rPr>
              <w:t>מביניהם</w:t>
            </w:r>
            <w:proofErr w:type="spellEnd"/>
            <w:r w:rsidRPr="00D61D79">
              <w:rPr>
                <w:rFonts w:ascii="David" w:hAnsi="David" w:hint="cs"/>
                <w:sz w:val="26"/>
                <w:rtl/>
              </w:rPr>
              <w:t>.</w:t>
            </w:r>
            <w:r w:rsidRPr="00D61D79">
              <w:rPr>
                <w:rFonts w:hint="cs"/>
                <w:rtl/>
              </w:rPr>
              <w:t xml:space="preserve"> בתוך תקופה זו </w:t>
            </w:r>
            <w:r>
              <w:rPr>
                <w:rFonts w:hint="cs"/>
                <w:sz w:val="26"/>
                <w:rtl/>
              </w:rPr>
              <w:t xml:space="preserve">ישקול ראש השירות </w:t>
            </w:r>
            <w:r w:rsidRPr="00D61D79">
              <w:rPr>
                <w:rFonts w:hint="cs"/>
                <w:sz w:val="26"/>
                <w:rtl/>
              </w:rPr>
              <w:t xml:space="preserve">האם </w:t>
            </w:r>
            <w:r>
              <w:rPr>
                <w:rFonts w:hint="cs"/>
                <w:sz w:val="26"/>
                <w:rtl/>
              </w:rPr>
              <w:t xml:space="preserve">להפעיל את סמכותו לפי סעיף 11(ב1) </w:t>
            </w:r>
            <w:r w:rsidRPr="00D61D79">
              <w:rPr>
                <w:rFonts w:hint="cs"/>
                <w:sz w:val="26"/>
                <w:rtl/>
              </w:rPr>
              <w:t xml:space="preserve">להורות לספקים </w:t>
            </w:r>
            <w:r>
              <w:rPr>
                <w:rFonts w:hint="cs"/>
                <w:sz w:val="26"/>
                <w:rtl/>
              </w:rPr>
              <w:t>שהוצאו להם הודעות כאמור</w:t>
            </w:r>
            <w:r w:rsidRPr="00D61D79">
              <w:rPr>
                <w:rFonts w:hint="cs"/>
                <w:sz w:val="26"/>
                <w:rtl/>
              </w:rPr>
              <w:t xml:space="preserve"> להמשיך ולהעביר מידע לידי השירות.</w:t>
            </w:r>
            <w:r>
              <w:rPr>
                <w:rFonts w:hint="cs"/>
                <w:rtl/>
              </w:rPr>
              <w:t>".</w:t>
            </w:r>
          </w:p>
        </w:tc>
      </w:tr>
      <w:tr w:rsidR="00353C35" w14:paraId="59863F9B" w14:textId="77777777" w:rsidTr="00353C35">
        <w:trPr>
          <w:cantSplit/>
          <w:trHeight w:val="60"/>
        </w:trPr>
        <w:tc>
          <w:tcPr>
            <w:tcW w:w="1870" w:type="dxa"/>
          </w:tcPr>
          <w:p w14:paraId="789D76F8" w14:textId="08B05460" w:rsidR="00353C35" w:rsidRDefault="00353C35" w:rsidP="00353C35">
            <w:pPr>
              <w:pStyle w:val="TableSideHeading"/>
              <w:keepLines w:val="0"/>
              <w:rPr>
                <w:rtl/>
              </w:rPr>
            </w:pPr>
            <w:r>
              <w:rPr>
                <w:rFonts w:hint="cs"/>
                <w:rtl/>
              </w:rPr>
              <w:t>תיקון התוספת</w:t>
            </w:r>
          </w:p>
        </w:tc>
        <w:tc>
          <w:tcPr>
            <w:tcW w:w="624" w:type="dxa"/>
          </w:tcPr>
          <w:p w14:paraId="4BEA0B98" w14:textId="5FFC81DD" w:rsidR="00353C35" w:rsidRDefault="00353C35" w:rsidP="00353C35">
            <w:pPr>
              <w:pStyle w:val="TableText"/>
              <w:rPr>
                <w:rtl/>
              </w:rPr>
            </w:pPr>
            <w:r>
              <w:rPr>
                <w:rFonts w:hint="cs"/>
                <w:rtl/>
              </w:rPr>
              <w:t xml:space="preserve">16. </w:t>
            </w:r>
          </w:p>
        </w:tc>
        <w:tc>
          <w:tcPr>
            <w:tcW w:w="7147" w:type="dxa"/>
            <w:gridSpan w:val="7"/>
          </w:tcPr>
          <w:p w14:paraId="6CCB97AA" w14:textId="00FCFA8D" w:rsidR="00353C35" w:rsidRDefault="008D39FE" w:rsidP="00353C35">
            <w:pPr>
              <w:pStyle w:val="TableBlock"/>
              <w:keepLines w:val="0"/>
              <w:rPr>
                <w:rFonts w:ascii="David" w:hAnsi="David"/>
                <w:sz w:val="26"/>
                <w:rtl/>
              </w:rPr>
            </w:pPr>
            <w:r>
              <w:rPr>
                <w:rFonts w:ascii="David" w:hAnsi="David" w:hint="cs"/>
                <w:sz w:val="26"/>
                <w:rtl/>
              </w:rPr>
              <w:t xml:space="preserve">בתוספת לחוק העיקרי </w:t>
            </w:r>
            <w:r>
              <w:rPr>
                <w:rFonts w:ascii="David" w:hAnsi="David"/>
                <w:sz w:val="26"/>
                <w:rtl/>
              </w:rPr>
              <w:t>–</w:t>
            </w:r>
            <w:r>
              <w:rPr>
                <w:rFonts w:ascii="David" w:hAnsi="David" w:hint="cs"/>
                <w:sz w:val="26"/>
                <w:rtl/>
              </w:rPr>
              <w:t xml:space="preserve"> </w:t>
            </w:r>
          </w:p>
        </w:tc>
      </w:tr>
      <w:tr w:rsidR="008D39FE" w14:paraId="22FFA9C3" w14:textId="77777777" w:rsidTr="00353C35">
        <w:trPr>
          <w:cantSplit/>
          <w:trHeight w:val="60"/>
        </w:trPr>
        <w:tc>
          <w:tcPr>
            <w:tcW w:w="1870" w:type="dxa"/>
          </w:tcPr>
          <w:p w14:paraId="78784BD3" w14:textId="77777777" w:rsidR="008D39FE" w:rsidRDefault="008D39FE" w:rsidP="00353C35">
            <w:pPr>
              <w:pStyle w:val="TableSideHeading"/>
              <w:keepLines w:val="0"/>
              <w:rPr>
                <w:rtl/>
              </w:rPr>
            </w:pPr>
          </w:p>
        </w:tc>
        <w:tc>
          <w:tcPr>
            <w:tcW w:w="624" w:type="dxa"/>
          </w:tcPr>
          <w:p w14:paraId="3A01E559" w14:textId="77777777" w:rsidR="008D39FE" w:rsidRDefault="008D39FE" w:rsidP="008D39FE">
            <w:pPr>
              <w:pStyle w:val="TableText"/>
              <w:rPr>
                <w:rtl/>
              </w:rPr>
            </w:pPr>
          </w:p>
        </w:tc>
        <w:tc>
          <w:tcPr>
            <w:tcW w:w="7147" w:type="dxa"/>
            <w:gridSpan w:val="7"/>
          </w:tcPr>
          <w:p w14:paraId="75C85F5F" w14:textId="04249565" w:rsidR="008D39FE" w:rsidRDefault="008D39FE" w:rsidP="00353C35">
            <w:pPr>
              <w:pStyle w:val="TableBlock"/>
              <w:keepLines w:val="0"/>
              <w:rPr>
                <w:rFonts w:ascii="David" w:hAnsi="David"/>
                <w:sz w:val="26"/>
                <w:rtl/>
              </w:rPr>
            </w:pPr>
            <w:r w:rsidRPr="001B4278">
              <w:rPr>
                <w:rFonts w:ascii="David" w:hAnsi="David" w:hint="cs"/>
                <w:sz w:val="26"/>
                <w:rtl/>
              </w:rPr>
              <w:t>במקום "חוק סמכויות חיפוש לשעת חירום (הוראת שעה), תשכ"</w:t>
            </w:r>
            <w:r>
              <w:rPr>
                <w:rFonts w:ascii="David" w:hAnsi="David" w:hint="cs"/>
                <w:sz w:val="26"/>
                <w:rtl/>
              </w:rPr>
              <w:t>ט</w:t>
            </w:r>
            <w:r w:rsidRPr="001B4278">
              <w:rPr>
                <w:rFonts w:ascii="David" w:hAnsi="David" w:hint="cs"/>
                <w:sz w:val="26"/>
                <w:rtl/>
              </w:rPr>
              <w:t>- 1969</w:t>
            </w:r>
            <w:r>
              <w:rPr>
                <w:rFonts w:ascii="David" w:hAnsi="David" w:hint="cs"/>
                <w:sz w:val="26"/>
                <w:rtl/>
              </w:rPr>
              <w:t>"</w:t>
            </w:r>
            <w:r w:rsidRPr="001B4278">
              <w:rPr>
                <w:rFonts w:ascii="David" w:hAnsi="David" w:hint="cs"/>
                <w:sz w:val="26"/>
                <w:rtl/>
              </w:rPr>
              <w:t xml:space="preserve"> יבוא "</w:t>
            </w:r>
            <w:r w:rsidRPr="001B4278">
              <w:rPr>
                <w:rFonts w:ascii="David" w:hAnsi="David"/>
                <w:sz w:val="26"/>
                <w:rtl/>
              </w:rPr>
              <w:t xml:space="preserve">חוק סמכויות לשם שמירה על ביטחון הציבור, </w:t>
            </w:r>
            <w:r>
              <w:rPr>
                <w:rFonts w:ascii="David" w:hAnsi="David" w:hint="cs"/>
                <w:sz w:val="26"/>
                <w:rtl/>
              </w:rPr>
              <w:t>ה</w:t>
            </w:r>
            <w:r w:rsidRPr="001B4278">
              <w:rPr>
                <w:rFonts w:ascii="David" w:hAnsi="David"/>
                <w:sz w:val="26"/>
                <w:rtl/>
              </w:rPr>
              <w:t>תשס"ה-2005</w:t>
            </w:r>
            <w:r w:rsidRPr="001B4278">
              <w:rPr>
                <w:rFonts w:ascii="David" w:hAnsi="David" w:hint="cs"/>
                <w:sz w:val="26"/>
                <w:rtl/>
              </w:rPr>
              <w:t>".</w:t>
            </w:r>
          </w:p>
        </w:tc>
      </w:tr>
    </w:tbl>
    <w:p w14:paraId="68A042BD" w14:textId="77777777" w:rsidR="00DA31BF" w:rsidRDefault="00DA31BF" w:rsidP="00722C14"/>
    <w:p w14:paraId="650FB1D8" w14:textId="77777777" w:rsidR="00E51F8A" w:rsidRDefault="00E51F8A" w:rsidP="00E51F8A">
      <w:pPr>
        <w:pStyle w:val="HeadDivreiHesber"/>
        <w:rPr>
          <w:rtl/>
        </w:rPr>
      </w:pPr>
      <w:r>
        <w:rPr>
          <w:rFonts w:hint="cs"/>
          <w:rtl/>
        </w:rPr>
        <w:t>דברי הסבר</w:t>
      </w:r>
    </w:p>
    <w:p w14:paraId="2626987E" w14:textId="77777777" w:rsidR="00E51F8A" w:rsidRPr="00D81830" w:rsidRDefault="00E51F8A" w:rsidP="00E51F8A">
      <w:pPr>
        <w:pStyle w:val="Hesber1st"/>
        <w:tabs>
          <w:tab w:val="clear" w:pos="680"/>
        </w:tabs>
        <w:rPr>
          <w:b/>
          <w:bCs/>
          <w:rtl/>
        </w:rPr>
      </w:pPr>
      <w:r>
        <w:rPr>
          <w:rFonts w:hint="cs"/>
          <w:b/>
          <w:bCs/>
          <w:rtl/>
        </w:rPr>
        <w:lastRenderedPageBreak/>
        <w:t>כללי</w:t>
      </w:r>
    </w:p>
    <w:p w14:paraId="31B4D844" w14:textId="77777777" w:rsidR="00E51F8A" w:rsidRDefault="00E51F8A" w:rsidP="00E51F8A">
      <w:pPr>
        <w:pStyle w:val="Hesber1st"/>
        <w:tabs>
          <w:tab w:val="clear" w:pos="680"/>
        </w:tabs>
        <w:rPr>
          <w:rtl/>
        </w:rPr>
      </w:pPr>
      <w:r w:rsidRPr="00D81830">
        <w:rPr>
          <w:rtl/>
        </w:rPr>
        <w:t>מאז חקיקתו של חוק שירות הביטחון הכללי, התשס"ב-2002 (להלן – חוק השב"כ או החוק), לפני כשני עשורים, חלו שינויים משמעותיים באיומים שעימם מתמודד שירות הביטחון הכללי (להלן – השירות), המופקד על-פי החוק על שמירת ביטחון המדינה וסדרי המשטר הדמוקרטי ומוסדותיו מפני איומי טרור, חבלה, חתרנות, ריגול וחשיפת סודות מדינה, בפרט בשים לב למציאות הטכנולוגית המתפתחת. המענה של השירות לאיומים אלה נשען כיום על סמכויותיו הקיימות לפי חוק השב"כ (ובפרט</w:t>
      </w:r>
      <w:r>
        <w:rPr>
          <w:rFonts w:hint="cs"/>
          <w:rtl/>
        </w:rPr>
        <w:t>, לפי</w:t>
      </w:r>
      <w:r w:rsidRPr="00D81830">
        <w:rPr>
          <w:rtl/>
        </w:rPr>
        <w:t xml:space="preserve"> סעיפים 11-8 לחוק), בדרך של פרשנות והסדרה בכללים ובנהלים. יחד עם זאת, לנוכח התפתחויות אלה, מטרת התיקון המוצע לחוק היא להבהיר את החקיקה הראשית</w:t>
      </w:r>
      <w:r>
        <w:rPr>
          <w:rFonts w:hint="cs"/>
          <w:rtl/>
        </w:rPr>
        <w:t>, בפרט בעולמות המחשוב והסייבר,</w:t>
      </w:r>
      <w:r w:rsidRPr="00D81830">
        <w:rPr>
          <w:rtl/>
        </w:rPr>
        <w:t xml:space="preserve"> </w:t>
      </w:r>
      <w:r>
        <w:rPr>
          <w:rFonts w:hint="cs"/>
          <w:rtl/>
        </w:rPr>
        <w:t xml:space="preserve">ולהתאימה </w:t>
      </w:r>
      <w:r w:rsidRPr="00D81830">
        <w:rPr>
          <w:rtl/>
        </w:rPr>
        <w:t xml:space="preserve">למציאות הנוכחית, תוך גידור הסמכויות וקביעת מנגנוני דיווח, פיקוח ובקרה אפקטיביים.  </w:t>
      </w:r>
    </w:p>
    <w:p w14:paraId="01D96EEA" w14:textId="77777777" w:rsidR="00E51F8A" w:rsidRDefault="00E51F8A" w:rsidP="00E51F8A">
      <w:pPr>
        <w:pStyle w:val="Hesber1st"/>
        <w:tabs>
          <w:tab w:val="clear" w:pos="680"/>
        </w:tabs>
        <w:rPr>
          <w:rtl/>
        </w:rPr>
      </w:pPr>
    </w:p>
    <w:p w14:paraId="0D80C20E" w14:textId="77777777" w:rsidR="00E51F8A" w:rsidRDefault="00E51F8A" w:rsidP="00E51F8A">
      <w:pPr>
        <w:pStyle w:val="Hesber1st"/>
        <w:tabs>
          <w:tab w:val="clear" w:pos="680"/>
        </w:tabs>
        <w:rPr>
          <w:b/>
          <w:bCs/>
          <w:rtl/>
        </w:rPr>
      </w:pPr>
      <w:r>
        <w:rPr>
          <w:rFonts w:hint="cs"/>
          <w:b/>
          <w:bCs/>
          <w:rtl/>
        </w:rPr>
        <w:t>סעיף 1</w:t>
      </w:r>
    </w:p>
    <w:p w14:paraId="1FA14BA9" w14:textId="77777777" w:rsidR="00E51F8A" w:rsidRDefault="00E51F8A" w:rsidP="00E51F8A">
      <w:pPr>
        <w:pStyle w:val="Hesber1st"/>
        <w:tabs>
          <w:tab w:val="clear" w:pos="680"/>
        </w:tabs>
        <w:rPr>
          <w:rtl/>
        </w:rPr>
      </w:pPr>
      <w:r>
        <w:rPr>
          <w:rFonts w:hint="cs"/>
          <w:sz w:val="26"/>
          <w:rtl/>
        </w:rPr>
        <w:t>מוצע להוסיף לסעיף 1 לחוק את ההגדרות "דבר המגלם חומר מחשב", "חדירה לחומר מחשב", "חומר מחשב", "חוק האזנת סתר", "חוק הגנת הפרטיות", "מאגר מידע" ו-"מחשב", תוך הפנייה להגדרות הקיימות בדברי חקיקה אחרים</w:t>
      </w:r>
      <w:r w:rsidRPr="008D15A7">
        <w:rPr>
          <w:rFonts w:hint="cs"/>
          <w:sz w:val="26"/>
          <w:rtl/>
        </w:rPr>
        <w:t>.</w:t>
      </w:r>
    </w:p>
    <w:p w14:paraId="09E06232" w14:textId="77777777" w:rsidR="00E51F8A" w:rsidRDefault="00E51F8A" w:rsidP="00E51F8A">
      <w:pPr>
        <w:pStyle w:val="Hesber1st"/>
        <w:tabs>
          <w:tab w:val="clear" w:pos="680"/>
        </w:tabs>
        <w:rPr>
          <w:rtl/>
        </w:rPr>
      </w:pPr>
    </w:p>
    <w:p w14:paraId="0023DCCD" w14:textId="77777777" w:rsidR="00E51F8A" w:rsidRDefault="00E51F8A" w:rsidP="00E51F8A">
      <w:pPr>
        <w:pStyle w:val="Hesber1st"/>
        <w:rPr>
          <w:b/>
          <w:bCs/>
          <w:rtl/>
        </w:rPr>
      </w:pPr>
      <w:r>
        <w:rPr>
          <w:rFonts w:hint="cs"/>
          <w:b/>
          <w:bCs/>
          <w:rtl/>
        </w:rPr>
        <w:t>סעיף 2</w:t>
      </w:r>
    </w:p>
    <w:p w14:paraId="7ADA66A2" w14:textId="77777777" w:rsidR="00E51F8A" w:rsidRPr="00D60239" w:rsidRDefault="00E51F8A" w:rsidP="00E51F8A">
      <w:pPr>
        <w:pStyle w:val="Hesber1st"/>
      </w:pPr>
      <w:bookmarkStart w:id="2" w:name="_Hlk150786714"/>
      <w:r>
        <w:rPr>
          <w:rFonts w:hint="cs"/>
          <w:rtl/>
        </w:rPr>
        <w:t xml:space="preserve">לצורך הרחבת סמכות השירות לתת הוראות בעניין סיווג ביטחוני ולבצע הליכי התאמה ביטחונית </w:t>
      </w:r>
      <w:r w:rsidRPr="00446F2A">
        <w:rPr>
          <w:rtl/>
        </w:rPr>
        <w:t>לגורמים שאינם נחשבים</w:t>
      </w:r>
      <w:r>
        <w:rPr>
          <w:rFonts w:hint="cs"/>
          <w:rtl/>
        </w:rPr>
        <w:t xml:space="preserve"> </w:t>
      </w:r>
      <w:r w:rsidRPr="00446F2A">
        <w:rPr>
          <w:rtl/>
        </w:rPr>
        <w:t>למי שממלאים תפקיד או משרה בשירות הציבורי או בגופים אחרים, כפי שקבעה הממשלה</w:t>
      </w:r>
      <w:r>
        <w:rPr>
          <w:rFonts w:hint="cs"/>
          <w:rtl/>
        </w:rPr>
        <w:t xml:space="preserve">, כנוסחו של סעיף 7(ב)(3) </w:t>
      </w:r>
      <w:proofErr w:type="spellStart"/>
      <w:r>
        <w:rPr>
          <w:rFonts w:hint="cs"/>
          <w:rtl/>
        </w:rPr>
        <w:t>דהיום</w:t>
      </w:r>
      <w:proofErr w:type="spellEnd"/>
      <w:r>
        <w:rPr>
          <w:rFonts w:hint="cs"/>
          <w:rtl/>
        </w:rPr>
        <w:t xml:space="preserve">, מוצע לתקן את פסקה (3) ולמחוק את ההתייחסות לקביעת הוראות בדבר סיווג בטחוני והתאמה ביטחונית </w:t>
      </w:r>
      <w:r w:rsidRPr="00D60239">
        <w:rPr>
          <w:rtl/>
        </w:rPr>
        <w:t>לתפקידים ולמשרות בשירות הציבורי ובגופים אחרים, כפי שקבעה הממשלה</w:t>
      </w:r>
      <w:r>
        <w:rPr>
          <w:rFonts w:hint="cs"/>
          <w:rtl/>
        </w:rPr>
        <w:t>. חלף האמור, מוצע לעגן סמכות זו בסעיף 15</w:t>
      </w:r>
      <w:r w:rsidRPr="00D60239">
        <w:rPr>
          <w:rtl/>
        </w:rPr>
        <w:t>.</w:t>
      </w:r>
    </w:p>
    <w:bookmarkEnd w:id="2"/>
    <w:p w14:paraId="27A03D9B" w14:textId="77777777" w:rsidR="00E51F8A" w:rsidRPr="005F56B4" w:rsidRDefault="00E51F8A" w:rsidP="00E51F8A">
      <w:pPr>
        <w:pStyle w:val="Hesber1st"/>
        <w:rPr>
          <w:rtl/>
        </w:rPr>
      </w:pPr>
    </w:p>
    <w:p w14:paraId="4968229F" w14:textId="77777777" w:rsidR="00E51F8A" w:rsidRDefault="00E51F8A" w:rsidP="00E51F8A">
      <w:pPr>
        <w:pStyle w:val="Hesber1st"/>
        <w:rPr>
          <w:rtl/>
        </w:rPr>
      </w:pPr>
      <w:r w:rsidRPr="00E24AB9">
        <w:rPr>
          <w:b/>
          <w:bCs/>
          <w:rtl/>
        </w:rPr>
        <w:t>סעיף</w:t>
      </w:r>
      <w:r>
        <w:rPr>
          <w:rFonts w:hint="cs"/>
          <w:b/>
          <w:bCs/>
          <w:rtl/>
        </w:rPr>
        <w:t xml:space="preserve"> </w:t>
      </w:r>
      <w:r>
        <w:rPr>
          <w:rFonts w:hint="cs"/>
          <w:rtl/>
        </w:rPr>
        <w:t>3</w:t>
      </w:r>
      <w:r>
        <w:rPr>
          <w:rtl/>
        </w:rPr>
        <w:t xml:space="preserve">     </w:t>
      </w:r>
    </w:p>
    <w:p w14:paraId="3B051A42" w14:textId="77777777" w:rsidR="00E51F8A" w:rsidRPr="00E24AB9" w:rsidRDefault="00E51F8A" w:rsidP="00E51F8A">
      <w:pPr>
        <w:pStyle w:val="Hesber1st"/>
        <w:rPr>
          <w:b/>
          <w:bCs/>
          <w:rtl/>
        </w:rPr>
      </w:pPr>
      <w:r>
        <w:rPr>
          <w:rtl/>
        </w:rPr>
        <w:t xml:space="preserve">סעיף 8(א) לחוק בנוסחו </w:t>
      </w:r>
      <w:proofErr w:type="spellStart"/>
      <w:r>
        <w:rPr>
          <w:rtl/>
        </w:rPr>
        <w:t>דהיום</w:t>
      </w:r>
      <w:proofErr w:type="spellEnd"/>
      <w:r>
        <w:rPr>
          <w:rtl/>
        </w:rPr>
        <w:t xml:space="preserve"> קובע, בין היתר, כי לצורך מילוי תפקידיו מוסמך השירות, באמצעות עובדיו, לקבל ולאסוף מידע, וכן להעביר מידע לגופים אחרים בהתאם לכללים שייקבעו ובכפוף להוראות כל דין. יצוין, כי בכל הנוגע לקבלה ולאיסוף של מידע, אשר אינה טעונה לפי החוק הסדרה נוספת בכללים, פורשה סמכות זו לאורך השנים כמתייחסת</w:t>
      </w:r>
      <w:r>
        <w:rPr>
          <w:rFonts w:hint="cs"/>
          <w:rtl/>
        </w:rPr>
        <w:t xml:space="preserve">, </w:t>
      </w:r>
      <w:r w:rsidRPr="00B61948">
        <w:rPr>
          <w:rFonts w:hint="cs"/>
          <w:rtl/>
        </w:rPr>
        <w:t>ככלל</w:t>
      </w:r>
      <w:r>
        <w:rPr>
          <w:rFonts w:hint="cs"/>
          <w:rtl/>
        </w:rPr>
        <w:t>,</w:t>
      </w:r>
      <w:r>
        <w:rPr>
          <w:rtl/>
        </w:rPr>
        <w:t xml:space="preserve"> לקבלה ולאיסוף של מידע פרטני, על רקע צורך קונקרטי בלבד. על רקע זאת, מוצע כעת להבהיר כי ת</w:t>
      </w:r>
      <w:r>
        <w:rPr>
          <w:rFonts w:hint="cs"/>
          <w:rtl/>
        </w:rPr>
        <w:t>וקנה</w:t>
      </w:r>
      <w:r>
        <w:rPr>
          <w:rtl/>
        </w:rPr>
        <w:t xml:space="preserve"> </w:t>
      </w:r>
      <w:r>
        <w:rPr>
          <w:rFonts w:hint="cs"/>
          <w:rtl/>
        </w:rPr>
        <w:t xml:space="preserve">לשירות </w:t>
      </w:r>
      <w:r>
        <w:rPr>
          <w:rtl/>
        </w:rPr>
        <w:t>סמכות נוספת שעניינה איסוף מאגרי מידע, אך זאת בכפוף למגבלות ולתנאים המוצעים לעניינים אלו בסעיפי הסמכה פרטניים שיסדירו זאת: סעיף 8א – לעניין קבלה ואיסוף של מאגרי מידע, וסעיף 8ב – לעניין העברת מאגרי מידע.</w:t>
      </w:r>
    </w:p>
    <w:p w14:paraId="4DCD306A" w14:textId="77777777" w:rsidR="00E51F8A" w:rsidRDefault="00E51F8A" w:rsidP="00E51F8A">
      <w:pPr>
        <w:pStyle w:val="Hesber1st"/>
        <w:rPr>
          <w:rtl/>
        </w:rPr>
      </w:pPr>
    </w:p>
    <w:p w14:paraId="53C73590" w14:textId="77777777" w:rsidR="00E51F8A" w:rsidRPr="00E24AB9" w:rsidRDefault="00E51F8A" w:rsidP="00E51F8A">
      <w:pPr>
        <w:pStyle w:val="Hesber1st"/>
        <w:rPr>
          <w:b/>
          <w:bCs/>
          <w:rtl/>
        </w:rPr>
      </w:pPr>
      <w:r w:rsidRPr="00E24AB9">
        <w:rPr>
          <w:b/>
          <w:bCs/>
          <w:rtl/>
        </w:rPr>
        <w:t xml:space="preserve">סעיף </w:t>
      </w:r>
      <w:r>
        <w:rPr>
          <w:rFonts w:hint="cs"/>
          <w:b/>
          <w:bCs/>
          <w:rtl/>
        </w:rPr>
        <w:t>4</w:t>
      </w:r>
      <w:r w:rsidRPr="00E24AB9">
        <w:rPr>
          <w:b/>
          <w:bCs/>
          <w:rtl/>
        </w:rPr>
        <w:t xml:space="preserve">    </w:t>
      </w:r>
      <w:r w:rsidRPr="00E24AB9">
        <w:rPr>
          <w:b/>
          <w:bCs/>
          <w:rtl/>
        </w:rPr>
        <w:tab/>
        <w:t xml:space="preserve">    </w:t>
      </w:r>
    </w:p>
    <w:p w14:paraId="1C5EB419" w14:textId="77777777" w:rsidR="00E51F8A" w:rsidRDefault="00E51F8A" w:rsidP="00E51F8A">
      <w:pPr>
        <w:pStyle w:val="Hesber1st"/>
        <w:rPr>
          <w:rtl/>
        </w:rPr>
      </w:pPr>
      <w:r>
        <w:rPr>
          <w:rtl/>
        </w:rPr>
        <w:t xml:space="preserve">מוצע להוסיף לחוק השב"כ סעיף חדש, סעיף 8א, אשר יעגן את סמכותו של השירות לקבל ולאסוף מאגרי מידע מהסוגים המפורטים בו, ולעשות בהם שימוש, כמפורט בסעיף, והכל בכפוף למגבלות ולתנאים המוצעים בסעיף זה, לרבות מנגנוני אישור, בקרה ודיווח הנדרשים לשם כך. </w:t>
      </w:r>
    </w:p>
    <w:p w14:paraId="782FF44D" w14:textId="77777777" w:rsidR="00E51F8A" w:rsidRDefault="00E51F8A" w:rsidP="00E51F8A">
      <w:pPr>
        <w:pStyle w:val="Hesber1st"/>
        <w:rPr>
          <w:rtl/>
        </w:rPr>
      </w:pPr>
    </w:p>
    <w:p w14:paraId="62BC2A47" w14:textId="77777777" w:rsidR="00E51F8A" w:rsidRDefault="00E51F8A" w:rsidP="00E51F8A">
      <w:pPr>
        <w:pStyle w:val="Hesber1st"/>
        <w:rPr>
          <w:rtl/>
        </w:rPr>
      </w:pPr>
      <w:r>
        <w:rPr>
          <w:rFonts w:hint="cs"/>
          <w:rtl/>
        </w:rPr>
        <w:lastRenderedPageBreak/>
        <w:t>ב</w:t>
      </w:r>
      <w:r>
        <w:rPr>
          <w:rtl/>
        </w:rPr>
        <w:t>פסקה (א) בסעיף 8א</w:t>
      </w:r>
      <w:r>
        <w:rPr>
          <w:rFonts w:hint="cs"/>
        </w:rPr>
        <w:t xml:space="preserve"> </w:t>
      </w:r>
      <w:r>
        <w:rPr>
          <w:rtl/>
        </w:rPr>
        <w:t>המוצע</w:t>
      </w:r>
      <w:r>
        <w:rPr>
          <w:rFonts w:hint="cs"/>
        </w:rPr>
        <w:t xml:space="preserve"> </w:t>
      </w:r>
      <w:r>
        <w:rPr>
          <w:rtl/>
        </w:rPr>
        <w:t xml:space="preserve">מוצע לקבוע כי "מידע בעל רגישות מיוחדת" אשר השירות יהיה מנוע מלקבל, לאסוף ולעשות בו שימוש, יכלול סוגי מידע שונים, אשר מתאפיינים בכך שהנגישות להם כרוכה בפגיעה בזכויות יסוד, ובראשן הזכות לפרטיות, הגוברת על הצורך הביטחוני באיסופם ובקבלתם לצורך מילוי תפקידי השירות. מידע כאמור כולל, בין היתר, מידע רפואי, מידע גנטי, מידע כלכלי ועוד. </w:t>
      </w:r>
    </w:p>
    <w:p w14:paraId="67AECCD1" w14:textId="77777777" w:rsidR="00E51F8A" w:rsidRDefault="00E51F8A" w:rsidP="00E51F8A">
      <w:pPr>
        <w:pStyle w:val="Hesber1st"/>
        <w:rPr>
          <w:rtl/>
        </w:rPr>
      </w:pPr>
      <w:r>
        <w:rPr>
          <w:rtl/>
        </w:rPr>
        <w:t>לעניין מידע על אודות דעותיו הפוליטיות של אדם או על אמונותיו הדתיות, יצוין כי על אף שמדובר במידע אישי רגיש, במקרים חריגים הוא עלול להצביע על חשש ממשי לביצוע מעשים שלא כדין, ועל כן, בנסיבות חריגות אלו, יוכל השירות לאסוף מאגרים המכילים מידע מסוג זה.</w:t>
      </w:r>
    </w:p>
    <w:p w14:paraId="37F464C3" w14:textId="77777777" w:rsidR="00E51F8A" w:rsidRDefault="00E51F8A" w:rsidP="00E51F8A">
      <w:pPr>
        <w:pStyle w:val="Hesber1st"/>
        <w:rPr>
          <w:rtl/>
        </w:rPr>
      </w:pPr>
      <w:r>
        <w:rPr>
          <w:rtl/>
        </w:rPr>
        <w:t xml:space="preserve">לעניין מידע על צנעת חייו האישיים של אדם, יצוין כי סוג מידע זה יכול להתייחס, למשל, להתנהגותו של אדם ברשות היחיד, להתנהגותו המינית או להעדפותיו המיניות, ליחסיו המשפחתיים וכדומה. יובהר, כי לא כל מידע אישי על אודות אדם ייחשב למידע על צנעת חייו האישיים, אלא הכוונה היא למידע אינטימי, המצוי בליבת הזכות לפרטיות. כך למשל, נקבע בעניין ע"א 1697/11 </w:t>
      </w:r>
      <w:r w:rsidRPr="000E3C51">
        <w:rPr>
          <w:b/>
          <w:bCs/>
          <w:rtl/>
        </w:rPr>
        <w:t xml:space="preserve">א. </w:t>
      </w:r>
      <w:proofErr w:type="spellStart"/>
      <w:r w:rsidRPr="000E3C51">
        <w:rPr>
          <w:b/>
          <w:bCs/>
          <w:rtl/>
        </w:rPr>
        <w:t>גוטסמן</w:t>
      </w:r>
      <w:proofErr w:type="spellEnd"/>
      <w:r w:rsidRPr="000E3C51">
        <w:rPr>
          <w:b/>
          <w:bCs/>
          <w:rtl/>
        </w:rPr>
        <w:t xml:space="preserve"> אדריכלות בע"מ נ' ורדי</w:t>
      </w:r>
      <w:r>
        <w:rPr>
          <w:rtl/>
        </w:rPr>
        <w:t xml:space="preserve"> (פורסם בנבו, 23.1.2013) כי גם מידע על ביתו של אדם עשוי להיחשב למידע על צנעת חייו האישיים, וזאת בנסיבות שיש בהן כדי להעיד על התנהגותו של אותו אדם בביתו. בהתאם לפסיקה זו, הדמיות ממוחשבות המציגות את חוץ ביתו של אדם לא ייחשבו למידע על צנעת חייו האישיים, בעוד שהדמיות ממוחשבות המציגות את פנים ביתו של אדם וחושפות חללים "אישיים" בו, שיש בהם כדי להעיד על אורחות חייו, ייחשבו לפגיעה כאמור. </w:t>
      </w:r>
    </w:p>
    <w:p w14:paraId="35CA69D4" w14:textId="77777777" w:rsidR="00E51F8A" w:rsidRDefault="00E51F8A" w:rsidP="00E51F8A">
      <w:pPr>
        <w:pStyle w:val="Hesber1st"/>
        <w:rPr>
          <w:rtl/>
        </w:rPr>
      </w:pPr>
      <w:r>
        <w:rPr>
          <w:rtl/>
        </w:rPr>
        <w:t>עוד יובהר, כי בגדר צנעת חייו האישיים של אדם לא ייכללו, לעניין זה, נתוני מיקום ונתוני תעבורה כהגדרתם בחוק סדר הדין הפלילי (סמכויות אכיפה – נתוני תקשורת), התשס"ח-2007, כך שאין בקביעת סוג מידע זה כמידע בעל רגישות מיוחדת כדי לשלול את אפשרות השירות לקבל ולאסוף מאגרי מידע הכוללים פרטי מידע אלה, בכפוף ליתר המגבלות והתנאים הקבועים בהצעה. עוד יצוין, כי במקרים חריגים, כאשר מידע על צנעת חייו האישיים של אדם עלול לבסס חשש ממשי לביצוע מעשים שלא כדין, יוסמך השירות לאסוף מאגרים המכילים מידע כאמור.</w:t>
      </w:r>
    </w:p>
    <w:p w14:paraId="314AAD74" w14:textId="77777777" w:rsidR="00E51F8A" w:rsidRDefault="00E51F8A" w:rsidP="00E51F8A">
      <w:pPr>
        <w:pStyle w:val="Hesber1st"/>
        <w:rPr>
          <w:rtl/>
        </w:rPr>
      </w:pPr>
      <w:r>
        <w:rPr>
          <w:rtl/>
        </w:rPr>
        <w:t>בנוסף, מוצע כי שר המשפטים יוכל להוסיף בצו, לאחר התייעצות עם ראש הממשלה, סוגי מידע נוספים שייחשבו לבעלי רגישות מיוחדת, ומשכך השירות יהיה מנוע מלאסוף מאגרים המכילים אותם.</w:t>
      </w:r>
    </w:p>
    <w:p w14:paraId="18ED00E7" w14:textId="77777777" w:rsidR="00E51F8A" w:rsidRDefault="00E51F8A" w:rsidP="00E51F8A">
      <w:pPr>
        <w:pStyle w:val="Hesber1st"/>
        <w:rPr>
          <w:rtl/>
        </w:rPr>
      </w:pPr>
    </w:p>
    <w:p w14:paraId="57485583" w14:textId="77777777" w:rsidR="00E51F8A" w:rsidRDefault="00E51F8A" w:rsidP="00E51F8A">
      <w:pPr>
        <w:pStyle w:val="Hesber1st"/>
        <w:rPr>
          <w:rtl/>
        </w:rPr>
      </w:pPr>
      <w:r>
        <w:rPr>
          <w:rFonts w:hint="cs"/>
          <w:rtl/>
        </w:rPr>
        <w:t>ב</w:t>
      </w:r>
      <w:r>
        <w:rPr>
          <w:rtl/>
        </w:rPr>
        <w:t>פסקה (ב)(1) בסעיף 8א המוצע</w:t>
      </w:r>
      <w:r>
        <w:rPr>
          <w:rFonts w:hint="cs"/>
          <w:rtl/>
        </w:rPr>
        <w:t xml:space="preserve"> </w:t>
      </w:r>
      <w:r>
        <w:rPr>
          <w:rtl/>
        </w:rPr>
        <w:t>מוצע כי אפשרות השירות לקבל ולאסוף מאגרי מידע תותנה בקבלת היתר לכך מאת ראש הממשלה לעניין כל מאגר ומאגר. היתר כאמור יוכל להינתן רק מקום בו מאגר המידע דרוש לשירות לצורך מילוי תפקידיו לפי סעיפים 7(ב)(1) ו-(2) לחוק השב"כ</w:t>
      </w:r>
      <w:r>
        <w:rPr>
          <w:rFonts w:hint="cs"/>
          <w:rtl/>
        </w:rPr>
        <w:t>,</w:t>
      </w:r>
      <w:r>
        <w:rPr>
          <w:rtl/>
        </w:rPr>
        <w:t xml:space="preserve"> שעניינם בסיכול ומניעה של פעילות בלתי-חוקית שמטרתה לפגוע בביטחון המדינה, בסדרי המשטר הדמוקרטי או במוסדותיו וכן באבטחת אנשים, מידע ומקומות שקבעה הממשלה, בהתאמה. ההסמכה האמורה אינה חלה על מאגרים הכוללים רק מידע בעל רגישות מיוחדת, כהגדרתם בסעיף 8א(א) לחוק, או על מאגרים שאפשרות קבלתם הוסדרה בדין אחר. </w:t>
      </w:r>
    </w:p>
    <w:p w14:paraId="0D057A41" w14:textId="77777777" w:rsidR="00E51F8A" w:rsidRDefault="00E51F8A" w:rsidP="00E51F8A">
      <w:pPr>
        <w:pStyle w:val="Hesber1st"/>
        <w:rPr>
          <w:rtl/>
        </w:rPr>
      </w:pPr>
      <w:r>
        <w:rPr>
          <w:rtl/>
        </w:rPr>
        <w:t>עוד מוצע לקבוע, כי היתר מאת ראש הממשלה כאמור בפסקה (ב)(1), יוכל להינתן רק על יסוד בקשה של ראש השירות לראש הממשלה לאחר קבלת חוות דעת מאת היועץ המשפטי לממשלה לבקשה.</w:t>
      </w:r>
    </w:p>
    <w:p w14:paraId="262FC62A" w14:textId="77777777" w:rsidR="00E51F8A" w:rsidRDefault="00E51F8A" w:rsidP="00E51F8A">
      <w:pPr>
        <w:pStyle w:val="Hesber1st"/>
        <w:rPr>
          <w:rtl/>
        </w:rPr>
      </w:pPr>
    </w:p>
    <w:p w14:paraId="11D1F5BA" w14:textId="77777777" w:rsidR="00E51F8A" w:rsidRDefault="00E51F8A" w:rsidP="00E51F8A">
      <w:pPr>
        <w:pStyle w:val="Hesber1st"/>
        <w:rPr>
          <w:rtl/>
        </w:rPr>
      </w:pPr>
      <w:r>
        <w:rPr>
          <w:rFonts w:hint="cs"/>
          <w:rtl/>
        </w:rPr>
        <w:t>ב</w:t>
      </w:r>
      <w:r>
        <w:rPr>
          <w:rtl/>
        </w:rPr>
        <w:t>פסקה (ב)(2) בסעיף 8א המוצע</w:t>
      </w:r>
      <w:r>
        <w:rPr>
          <w:rFonts w:hint="cs"/>
          <w:rtl/>
        </w:rPr>
        <w:t xml:space="preserve"> מוצע לקבוע</w:t>
      </w:r>
      <w:r>
        <w:rPr>
          <w:rtl/>
        </w:rPr>
        <w:t xml:space="preserve"> </w:t>
      </w:r>
      <w:r>
        <w:rPr>
          <w:rFonts w:hint="cs"/>
          <w:rtl/>
        </w:rPr>
        <w:t xml:space="preserve">כי </w:t>
      </w:r>
      <w:r>
        <w:rPr>
          <w:rtl/>
        </w:rPr>
        <w:t xml:space="preserve">בקשת ראש השירות כאמור תכלול פרטים על אופן איסוף </w:t>
      </w:r>
      <w:r>
        <w:rPr>
          <w:rtl/>
        </w:rPr>
        <w:lastRenderedPageBreak/>
        <w:t xml:space="preserve">או קבלת המאגר, מאפייני המאגר וסוגי המידע המצויים בו והיקפם, ככל שפרטים אלו ידועים לשירות. כמו כן, תכלול הבקשה נימוק בדבר הצורך בשימוש בנתונים הנמצאים במאגר. בנוסף, תפורט בבקשה התקופה המבוקשת להחזקת המאגר הדרושה לשירות על מנת להגשים את מטרת השימוש בו, וכן פירוט הגורמים שיורשו לעשות בו שימוש. פירוט נתונים אלו נועד להקנות בידי ראש הממשלה, וקודם לכך בידי היועץ המשפטי לממשלה, אפשרות לקיים בחינה מקיפה של הבקשה ובכך להבטיח שהיתר כאמור יינתן רק במקרים המקיימים את התנאים הקבועים בהצעת החוק.  </w:t>
      </w:r>
    </w:p>
    <w:p w14:paraId="3ECCAA73" w14:textId="77777777" w:rsidR="00E51F8A" w:rsidRDefault="00E51F8A" w:rsidP="00E51F8A">
      <w:pPr>
        <w:pStyle w:val="Hesber1st"/>
        <w:rPr>
          <w:rtl/>
        </w:rPr>
      </w:pPr>
    </w:p>
    <w:p w14:paraId="4CB3DB5D" w14:textId="77777777" w:rsidR="00E51F8A" w:rsidRDefault="00E51F8A" w:rsidP="00E51F8A">
      <w:pPr>
        <w:pStyle w:val="Hesber1st"/>
        <w:rPr>
          <w:rtl/>
        </w:rPr>
      </w:pPr>
      <w:r>
        <w:rPr>
          <w:rFonts w:hint="cs"/>
          <w:rtl/>
        </w:rPr>
        <w:t>ב</w:t>
      </w:r>
      <w:r>
        <w:rPr>
          <w:rtl/>
        </w:rPr>
        <w:t>פסקה (ב)(3) בסעיף 8א המוצע מוצע להבנות את אופן הפעלת שיקול-דעתו של ראש הממשלה בבואו לבחון את בקשת השירות, כך שהוא יידרש לשקול, בין היתר, את מידת הפגיעה בפרטיות, ויוסמך לתת היתר לשירות לקבל או לאסוף מאגר מידע רק לאחר ששוכנע כי התועלת שתופק מהשימוש במידע שבמאגר עולה על מידת הפגיעה בפרטיות הכרוכה בכך. עוד מוצע לקבוע, כי היתר לקבלה או איסוף של מאגר כאמור יינתן לתקופה של עד 24 חודשים וכי ניתן יהיה לשוב ולחדשו לתקופות נוספות של עד 24 חודשים בכל פעם.</w:t>
      </w:r>
    </w:p>
    <w:p w14:paraId="2AF3539B" w14:textId="77777777" w:rsidR="00E51F8A" w:rsidRDefault="00E51F8A" w:rsidP="00E51F8A">
      <w:pPr>
        <w:pStyle w:val="Hesber1st"/>
        <w:rPr>
          <w:rtl/>
        </w:rPr>
      </w:pPr>
    </w:p>
    <w:p w14:paraId="53DB2C76" w14:textId="77777777" w:rsidR="00E51F8A" w:rsidRDefault="00E51F8A" w:rsidP="00E51F8A">
      <w:pPr>
        <w:pStyle w:val="Hesber1st"/>
        <w:rPr>
          <w:rtl/>
        </w:rPr>
      </w:pPr>
      <w:r>
        <w:rPr>
          <w:rFonts w:hint="cs"/>
          <w:rtl/>
        </w:rPr>
        <w:t>ב</w:t>
      </w:r>
      <w:r>
        <w:rPr>
          <w:rtl/>
        </w:rPr>
        <w:t xml:space="preserve">פסקה (ב)(4) בסעיף 8א המוצע מוצע לקבוע, כי במידה שמאגר מידע מכיל הן מידע בעל רגישות מיוחדת והן מידע שאינו כזה, ראש הממשלה יוסמך להתיר לשירות לאסוף או לקבל את המאגר רק אם ניתן לבצע הפרדה בין שני סוגי המידע, כך שבשירות יימצא רק החלק מתוך המאגר הכולל מידע שאינו בעל רגישות מיוחדת. ככל שלא ניתן לבצע הפרדה כאמור, לא יינתן היתר לשירות לקבל או לאסוף את המאגר. </w:t>
      </w:r>
    </w:p>
    <w:p w14:paraId="1A458BD4" w14:textId="77777777" w:rsidR="00E51F8A" w:rsidRDefault="00E51F8A" w:rsidP="00E51F8A">
      <w:pPr>
        <w:pStyle w:val="Hesber1st"/>
        <w:rPr>
          <w:rtl/>
        </w:rPr>
      </w:pPr>
    </w:p>
    <w:p w14:paraId="7911F923" w14:textId="77777777" w:rsidR="00E51F8A" w:rsidRDefault="00E51F8A" w:rsidP="00E51F8A">
      <w:pPr>
        <w:pStyle w:val="Hesber1st"/>
        <w:rPr>
          <w:rtl/>
        </w:rPr>
      </w:pPr>
      <w:r>
        <w:rPr>
          <w:rFonts w:hint="cs"/>
          <w:rtl/>
        </w:rPr>
        <w:t>ב</w:t>
      </w:r>
      <w:r>
        <w:rPr>
          <w:rtl/>
        </w:rPr>
        <w:t>פסקה (ג)(1) בסעיף 8א המוצע מוצע להסמיך את ראש השירות, במקרים בהם הוא שוכנע כי קיים צורך דחוף בקבלת מאגר או באיסופו ולא ניתן לקבל היתר מאת ראש הממשלה מבעוד מועד בשל הדחיפות האמורה, להתיר לשירות לקבל או לאסוף מאגר כאמור, בלא שניתן היתר כאמור מאת ראש הממשלה קודם לכן. בעשותו כן, ישקול ראש השירות את השיקולים שעל ראש הממשלה לשקול כחלק מהפעלת סמכותו למתן היתר לקבלה או לאיסוף של מאגר מידע, בשינויים המחויבים. כך למשל, על ראש השירות לשקול את מידת הפגיעה בפרטיות ולהתיר לשירות לקבל או לאסוף מאגר מידע רק אם שוכנע שהתועלת בו עולה על מידת הפגיעה בפרטיות. כמו כן, השירות לא יהיה רשאי לעשות כל שימוש במידע הכלול במאגר שהתקבל או נאסף מכוח ההיתר שניתן על-ידי ראש השירות, אלא לאחר קבלת היתר מאת ראש הממשלה. משמע, במובחן מסוגיית קבלת המאגר או איסופו, אין בסמכות כאמור כדי לחרוג מהכלל לפיו השימוש במאגר יחייב היתר של ראש הממשלה, אשר יינתן לאחר קבלת חוות דעתו של היועץ המשפטי לממשלה.</w:t>
      </w:r>
    </w:p>
    <w:p w14:paraId="418FAB9A" w14:textId="77777777" w:rsidR="00E51F8A" w:rsidRDefault="00E51F8A" w:rsidP="00E51F8A">
      <w:pPr>
        <w:pStyle w:val="Hesber1st"/>
        <w:rPr>
          <w:rtl/>
        </w:rPr>
      </w:pPr>
    </w:p>
    <w:p w14:paraId="3FB6FE66" w14:textId="77777777" w:rsidR="00E51F8A" w:rsidRDefault="00E51F8A" w:rsidP="00E51F8A">
      <w:pPr>
        <w:pStyle w:val="Hesber1st"/>
        <w:rPr>
          <w:rtl/>
        </w:rPr>
      </w:pPr>
      <w:r>
        <w:rPr>
          <w:rFonts w:hint="cs"/>
          <w:rtl/>
        </w:rPr>
        <w:t>ב</w:t>
      </w:r>
      <w:r>
        <w:rPr>
          <w:rtl/>
        </w:rPr>
        <w:t>פסקה (ג)(2) בסעיף 8א המוצע</w:t>
      </w:r>
      <w:r>
        <w:rPr>
          <w:rFonts w:hint="cs"/>
          <w:rtl/>
        </w:rPr>
        <w:t>, מוצע לקבוע כי</w:t>
      </w:r>
      <w:r>
        <w:rPr>
          <w:rtl/>
        </w:rPr>
        <w:t xml:space="preserve"> במקרים שבהם יאשר ראש השירות לקבל או לאסוף מאגר מידע לפי פסקה זו, יהיה עליו להודיע על כך מיד ליועץ המשפטי לממשלה ולראש הממשלה, אשר יהיה רשאי לבטל את ההיתר. </w:t>
      </w:r>
    </w:p>
    <w:p w14:paraId="6A4A6585" w14:textId="77777777" w:rsidR="00E51F8A" w:rsidRDefault="00E51F8A" w:rsidP="00E51F8A">
      <w:pPr>
        <w:pStyle w:val="Hesber1st"/>
        <w:rPr>
          <w:rtl/>
        </w:rPr>
      </w:pPr>
    </w:p>
    <w:p w14:paraId="432590AF" w14:textId="77777777" w:rsidR="00E51F8A" w:rsidRDefault="00E51F8A" w:rsidP="00E51F8A">
      <w:pPr>
        <w:pStyle w:val="Hesber1st"/>
        <w:rPr>
          <w:rtl/>
        </w:rPr>
      </w:pPr>
      <w:r>
        <w:rPr>
          <w:rFonts w:hint="cs"/>
          <w:rtl/>
        </w:rPr>
        <w:t>ב</w:t>
      </w:r>
      <w:r>
        <w:rPr>
          <w:rtl/>
        </w:rPr>
        <w:t>פסקה (ד) בסעיף 8א המוצע</w:t>
      </w:r>
      <w:r>
        <w:rPr>
          <w:rFonts w:hint="cs"/>
          <w:rtl/>
        </w:rPr>
        <w:t xml:space="preserve"> </w:t>
      </w:r>
      <w:r>
        <w:rPr>
          <w:rtl/>
        </w:rPr>
        <w:t>מוצע לקבוע, כי השירות יפנה בבקשה לקבלת היתר לאיסוף מאגר מידע רק במקרים שבהם לא ניתן</w:t>
      </w:r>
      <w:r>
        <w:rPr>
          <w:rFonts w:hint="cs"/>
          <w:rtl/>
        </w:rPr>
        <w:t>, באופן סביר,</w:t>
      </w:r>
      <w:r>
        <w:rPr>
          <w:rtl/>
        </w:rPr>
        <w:t xml:space="preserve"> לקבלו. זאת, על-יסוד ההנחה, כי קבלת מאגר בהסכמה כרוכה </w:t>
      </w:r>
      <w:r>
        <w:rPr>
          <w:rtl/>
        </w:rPr>
        <w:lastRenderedPageBreak/>
        <w:t xml:space="preserve">בפגיעה פחותה מאשר זו הכרוכה באיסוף מאגר, אשר ככלל, אינו טעון הסכמה. עוד מוצע להבהיר, כי קבלת מאגר ואיסוף מאגר יעשו בהתאם לסמכויות השירות לעניינים אלו לפי כל דין. </w:t>
      </w:r>
    </w:p>
    <w:p w14:paraId="132C5C99" w14:textId="77777777" w:rsidR="00E51F8A" w:rsidRDefault="00E51F8A" w:rsidP="00E51F8A">
      <w:pPr>
        <w:pStyle w:val="Hesber1st"/>
        <w:rPr>
          <w:rtl/>
        </w:rPr>
      </w:pPr>
    </w:p>
    <w:p w14:paraId="27E916F3" w14:textId="77777777" w:rsidR="00E51F8A" w:rsidRDefault="00E51F8A" w:rsidP="00E51F8A">
      <w:pPr>
        <w:pStyle w:val="Hesber1st"/>
        <w:rPr>
          <w:rtl/>
        </w:rPr>
      </w:pPr>
      <w:r>
        <w:rPr>
          <w:rFonts w:hint="cs"/>
          <w:rtl/>
        </w:rPr>
        <w:t>ב</w:t>
      </w:r>
      <w:r>
        <w:rPr>
          <w:rtl/>
        </w:rPr>
        <w:t>פסקה (ה)(1) בסעיף 8א המוצע</w:t>
      </w:r>
      <w:r>
        <w:rPr>
          <w:rFonts w:hint="cs"/>
          <w:rtl/>
        </w:rPr>
        <w:t xml:space="preserve"> </w:t>
      </w:r>
      <w:r>
        <w:rPr>
          <w:rtl/>
        </w:rPr>
        <w:t>מוצע לקבוע, כי בעוד שהיתר מאת ראש הממשלה לצורך איסוף או קבלה של מאגר מידע יוכל להינתן רק מקום בו אותו מאגר דרוש לשירות לצורך מילוי תפקידיו לפי סעיפים 7(ב)(1) ו-(2) לחוק השב"כ, כאמור בפסקה (ב)(1) לעיל, הרי שככל שניתן היתר כאמור לעניין מאגר מסוים, השירות יהא רשאי לעשות שימוש באותו מאגר גם לצורך מילוי יתר תפקידיו לפי חוק השב"כ. לצד זאת, מוצע כי לעניין השימוש במידע שבמאגר לתפקידי השירות שאינם אלו המנויים בסעיפים 7(ב)(1) ו-(2), יי</w:t>
      </w:r>
      <w:r>
        <w:rPr>
          <w:rFonts w:hint="cs"/>
          <w:rtl/>
        </w:rPr>
        <w:t>עשה בהתאם להוראות שיי</w:t>
      </w:r>
      <w:r>
        <w:rPr>
          <w:rtl/>
        </w:rPr>
        <w:t>קבעו בכללים</w:t>
      </w:r>
      <w:r>
        <w:rPr>
          <w:rFonts w:hint="cs"/>
          <w:rtl/>
        </w:rPr>
        <w:t xml:space="preserve"> ו</w:t>
      </w:r>
      <w:r>
        <w:rPr>
          <w:rtl/>
        </w:rPr>
        <w:t xml:space="preserve">באופן שיצמצם את מידת הפגיעה בפרטיות. </w:t>
      </w:r>
    </w:p>
    <w:p w14:paraId="3422390D" w14:textId="77777777" w:rsidR="00E51F8A" w:rsidRDefault="00E51F8A" w:rsidP="00E51F8A">
      <w:pPr>
        <w:pStyle w:val="Hesber1st"/>
        <w:rPr>
          <w:rtl/>
        </w:rPr>
      </w:pPr>
    </w:p>
    <w:p w14:paraId="1FF37A39" w14:textId="77777777" w:rsidR="00E51F8A" w:rsidRDefault="00E51F8A" w:rsidP="00E51F8A">
      <w:pPr>
        <w:pStyle w:val="Hesber1st"/>
        <w:rPr>
          <w:rtl/>
        </w:rPr>
      </w:pPr>
      <w:r>
        <w:rPr>
          <w:rFonts w:hint="cs"/>
          <w:rtl/>
        </w:rPr>
        <w:t>ב</w:t>
      </w:r>
      <w:r>
        <w:rPr>
          <w:rtl/>
        </w:rPr>
        <w:t>פסקה (ה)(2) בסעיף 8א המוצ</w:t>
      </w:r>
      <w:r>
        <w:rPr>
          <w:rFonts w:hint="cs"/>
          <w:rtl/>
        </w:rPr>
        <w:t xml:space="preserve">ע </w:t>
      </w:r>
      <w:r>
        <w:rPr>
          <w:rtl/>
        </w:rPr>
        <w:t xml:space="preserve">מוצע לקבוע, כי השימוש במידע שמקורו במאגרי מידע שהתקבלו או נאספו לפי סעיף זה ייעשה רק על-ידי בעלי תפקידים מסוימים שהוסמכו לכך על-ידי ראש השירות, לאחר ששוכנע כי הם נדרשים לכך לצורך מילוי התפקיד. הסמכה כאמור תהיה לתקופת מילוי התפקיד ולא תעלה על 12 חודשים, אולם ראש השירות יוכל לשוב ולחדשה. כמו כן, בכתב ההסמכה יפורטו השימוש הנדרש במאגר והתכליות שלשמן ניתן יהיה לעשות בו שימוש. </w:t>
      </w:r>
    </w:p>
    <w:p w14:paraId="5AA48FA8" w14:textId="77777777" w:rsidR="00E51F8A" w:rsidRDefault="00E51F8A" w:rsidP="00E51F8A">
      <w:pPr>
        <w:pStyle w:val="Hesber1st"/>
        <w:rPr>
          <w:rtl/>
        </w:rPr>
      </w:pPr>
    </w:p>
    <w:p w14:paraId="76280DA6" w14:textId="77777777" w:rsidR="00E51F8A" w:rsidRDefault="00E51F8A" w:rsidP="00E51F8A">
      <w:pPr>
        <w:pStyle w:val="Hesber1st"/>
        <w:rPr>
          <w:rtl/>
        </w:rPr>
      </w:pPr>
      <w:r>
        <w:rPr>
          <w:rFonts w:hint="cs"/>
          <w:rtl/>
        </w:rPr>
        <w:t>ב</w:t>
      </w:r>
      <w:r>
        <w:rPr>
          <w:rtl/>
        </w:rPr>
        <w:t>פסקה (ו) בסעיף 8א המוצע</w:t>
      </w:r>
      <w:r>
        <w:rPr>
          <w:rFonts w:hint="cs"/>
          <w:rtl/>
        </w:rPr>
        <w:t xml:space="preserve"> </w:t>
      </w:r>
      <w:r>
        <w:rPr>
          <w:rtl/>
        </w:rPr>
        <w:t xml:space="preserve">בהמשך למוצע בפסקה (א)(8) אשר לפיה לעניין ההגדרה של מידע בעל רגישות מיוחדת ייחשב, בהקשר של מזהה ביומטרי, רק מזהה שהוא נתון ביומטרי, בשונה מאמצעי זיהוי ביומטרי. מוצע לקבוע, כי לעניין מאגר המכיל אמצעי זיהוי ביומטרי (כגון תמונת פנים) אשר ממנו ניתן להפיק נתון ביומטרי, השירות יוכל להפיק ולעשות שימוש בנתון ביומטרי כאמור רק על בסיס צורך פרטני ובכפוף לכללים שייקבעו לעניין זה וזאת לשם צמצום הפגיעה בפרטיות כתוצאה משימוש כאמור. זאת, לנוכח רגישות המידע האמור הגם שהוא אינו עולה כדי מידע בעל רגישות מיוחדת כהגדרתה בהצעה. </w:t>
      </w:r>
    </w:p>
    <w:p w14:paraId="79A08F8A" w14:textId="77777777" w:rsidR="00E51F8A" w:rsidRDefault="00E51F8A" w:rsidP="00E51F8A">
      <w:pPr>
        <w:pStyle w:val="Hesber1st"/>
        <w:rPr>
          <w:rtl/>
        </w:rPr>
      </w:pPr>
    </w:p>
    <w:p w14:paraId="1FAF9340" w14:textId="77777777" w:rsidR="00E51F8A" w:rsidRDefault="00E51F8A" w:rsidP="00E51F8A">
      <w:pPr>
        <w:pStyle w:val="Hesber1st"/>
        <w:rPr>
          <w:rtl/>
        </w:rPr>
      </w:pPr>
      <w:r>
        <w:rPr>
          <w:rFonts w:hint="cs"/>
          <w:rtl/>
        </w:rPr>
        <w:t>ב</w:t>
      </w:r>
      <w:r>
        <w:rPr>
          <w:rtl/>
        </w:rPr>
        <w:t>פסקה (ז) בסעיף 8א המוצע</w:t>
      </w:r>
      <w:r>
        <w:rPr>
          <w:rFonts w:hint="cs"/>
          <w:rtl/>
        </w:rPr>
        <w:t xml:space="preserve"> </w:t>
      </w:r>
      <w:r>
        <w:rPr>
          <w:rtl/>
        </w:rPr>
        <w:t xml:space="preserve">מוצע לקבוע כי </w:t>
      </w:r>
      <w:bookmarkStart w:id="3" w:name="_Hlk150785774"/>
      <w:r>
        <w:rPr>
          <w:rtl/>
        </w:rPr>
        <w:t>ראש השירות ימסור לראש הממשלה, ליועץ המשפטי לממשלה ולוועדת הכנסת לענייני השירות, דיווחים ע</w:t>
      </w:r>
      <w:r>
        <w:rPr>
          <w:rFonts w:hint="cs"/>
          <w:rtl/>
        </w:rPr>
        <w:t>י</w:t>
      </w:r>
      <w:r>
        <w:rPr>
          <w:rtl/>
        </w:rPr>
        <w:t xml:space="preserve">תיים על מאגרי מידע שהתקבלו או נאספו מכוח סעיף זה. דיווח זה יתייחס, בין היתר, למידע הנמצא בכל מאגר, לשימוש שעשה השירות במידע שבמאגרים, למידת התועלת של כל מאגר למימוש תפקידי השירות ועוד. דיווח זה נועד לאפשר פיקוח ובקרה חיצונית מקיפה על פעילות השירות מכוח סעיף זה, הן במישור הפנים-ממשלתי והן מטעמה של הרשות המחוקקת, ובכך להבטיח כי קבלתם ואיסופם של מאגרי מידע, כמו גם אופן השימוש בהם, נעשים רק מקום בו הדבר דרוש לצורך הגשמת התכליות שלשמן ניתנו סמכויות אלו לשירות, ותוך איזון הולם בין התכלית הביטחונית לבין הפגיעה הכרוכה בכך בזכויות יסוד. </w:t>
      </w:r>
    </w:p>
    <w:bookmarkEnd w:id="3"/>
    <w:p w14:paraId="2DB0CA4E" w14:textId="77777777" w:rsidR="00E51F8A" w:rsidRDefault="00E51F8A" w:rsidP="00E51F8A">
      <w:pPr>
        <w:pStyle w:val="Hesber1st"/>
        <w:rPr>
          <w:rtl/>
        </w:rPr>
      </w:pPr>
    </w:p>
    <w:p w14:paraId="724DD3D2" w14:textId="77777777" w:rsidR="00E51F8A" w:rsidRDefault="00E51F8A" w:rsidP="00E51F8A">
      <w:pPr>
        <w:pStyle w:val="Hesber1st"/>
        <w:rPr>
          <w:rtl/>
        </w:rPr>
      </w:pPr>
      <w:r>
        <w:rPr>
          <w:rFonts w:hint="cs"/>
          <w:rtl/>
        </w:rPr>
        <w:t>ב</w:t>
      </w:r>
      <w:r>
        <w:rPr>
          <w:rtl/>
        </w:rPr>
        <w:t>פסקה (ח) בסעיף 8א המוצע</w:t>
      </w:r>
      <w:r>
        <w:rPr>
          <w:rFonts w:hint="cs"/>
          <w:rtl/>
        </w:rPr>
        <w:t xml:space="preserve"> </w:t>
      </w:r>
      <w:r>
        <w:rPr>
          <w:rtl/>
        </w:rPr>
        <w:t>מוצע להבהיר, כי האמור בחוק זה אינו גורע מסמכותו של השירות לקבל או לאסוף מידע או מאגר מידע על-פי כל דין אחר. כך למשל, לעניין מאגרים של גופים ציבוריים שהשירות רשאי לקבלם בהתאם להוראות פרק ד' לחוק הגנת הפרטיות</w:t>
      </w:r>
      <w:r>
        <w:rPr>
          <w:rFonts w:hint="cs"/>
          <w:rtl/>
        </w:rPr>
        <w:t>, התשמ"א-1981</w:t>
      </w:r>
      <w:r>
        <w:rPr>
          <w:rtl/>
        </w:rPr>
        <w:t xml:space="preserve"> או איסוף מידע שאינו עולה כדי מאגר מידע, בהתאם להוראות סעיף 8. </w:t>
      </w:r>
    </w:p>
    <w:p w14:paraId="2EC4160D" w14:textId="77777777" w:rsidR="00E51F8A" w:rsidRDefault="00E51F8A" w:rsidP="00E51F8A">
      <w:pPr>
        <w:pStyle w:val="Hesber1st"/>
        <w:rPr>
          <w:rtl/>
        </w:rPr>
      </w:pPr>
    </w:p>
    <w:p w14:paraId="338EC6D1" w14:textId="77777777" w:rsidR="00E51F8A" w:rsidRDefault="00E51F8A" w:rsidP="00E51F8A">
      <w:pPr>
        <w:pStyle w:val="Hesber1st"/>
        <w:rPr>
          <w:rtl/>
        </w:rPr>
      </w:pPr>
    </w:p>
    <w:p w14:paraId="076E0E74" w14:textId="77777777" w:rsidR="00E51F8A" w:rsidRDefault="00E51F8A" w:rsidP="00E51F8A">
      <w:pPr>
        <w:pStyle w:val="Hesber1st"/>
        <w:rPr>
          <w:rtl/>
        </w:rPr>
      </w:pPr>
      <w:r w:rsidRPr="00E24AB9">
        <w:rPr>
          <w:b/>
          <w:bCs/>
          <w:rtl/>
        </w:rPr>
        <w:t xml:space="preserve">סעיף </w:t>
      </w:r>
      <w:r>
        <w:rPr>
          <w:rFonts w:hint="cs"/>
          <w:b/>
          <w:bCs/>
          <w:rtl/>
        </w:rPr>
        <w:t>5</w:t>
      </w:r>
      <w:r>
        <w:rPr>
          <w:rtl/>
        </w:rPr>
        <w:t xml:space="preserve">   </w:t>
      </w:r>
      <w:r>
        <w:rPr>
          <w:rtl/>
        </w:rPr>
        <w:tab/>
      </w:r>
    </w:p>
    <w:p w14:paraId="242D3968" w14:textId="77777777" w:rsidR="00E51F8A" w:rsidRDefault="00E51F8A" w:rsidP="00E51F8A">
      <w:pPr>
        <w:pStyle w:val="Hesber1st"/>
        <w:rPr>
          <w:rtl/>
        </w:rPr>
      </w:pPr>
      <w:r>
        <w:rPr>
          <w:rtl/>
        </w:rPr>
        <w:t xml:space="preserve">מוצע להוסיף לחוק השב"כ סעיף חדש, סעיף 8ב, אשר יעגן את סמכותו של השירות להעביר מאגרי מידע מהסוגים המפורטים בו, בכפוף למגבלות ולתנאים המוצעים בסעיף זה. </w:t>
      </w:r>
    </w:p>
    <w:p w14:paraId="76000645" w14:textId="77777777" w:rsidR="00E51F8A" w:rsidRDefault="00E51F8A" w:rsidP="00E51F8A">
      <w:pPr>
        <w:pStyle w:val="Hesber1st"/>
        <w:rPr>
          <w:rtl/>
        </w:rPr>
      </w:pPr>
      <w:r>
        <w:rPr>
          <w:rFonts w:hint="cs"/>
          <w:rtl/>
        </w:rPr>
        <w:t>ב</w:t>
      </w:r>
      <w:r>
        <w:rPr>
          <w:rtl/>
        </w:rPr>
        <w:t>פסקה (א) בסעיף 8ב המוצע</w:t>
      </w:r>
      <w:r>
        <w:rPr>
          <w:rFonts w:hint="cs"/>
          <w:rtl/>
        </w:rPr>
        <w:t xml:space="preserve"> </w:t>
      </w:r>
      <w:r>
        <w:rPr>
          <w:rtl/>
        </w:rPr>
        <w:t xml:space="preserve">מוצע לקבוע כי סמכותו של השירות להעביר מאגר מידע שהתקבל או נאסף על-ידיו תוכל להיות מופעלת במקרים בהם קיימים טעמים מיוחדים לכך, כאשר הדבר דרוש לצורך מילוי תפקידיו של השירות, בהתאם להוראות שייקבעו לעניין זה בכללים, ובאישור ראש השירות. עוד מוצע, להבנות את אופן הפעלת שיקול-דעתו של ראש השירות בבואו לאשר העברת מאגר כאמור, כך שהדבר יותנה בכך שראש השירות השתכנע כי הצורך בהעברת המאגר עולה על הפגיעה בפרטיות שעלולה להיגרם כתוצאה מכך וכן עולה על פגיעה אפשרית במקורות מידע או בשיטות פעולה של השירות. </w:t>
      </w:r>
    </w:p>
    <w:p w14:paraId="79FD8DCF" w14:textId="77777777" w:rsidR="00E51F8A" w:rsidRDefault="00E51F8A" w:rsidP="00E51F8A">
      <w:pPr>
        <w:pStyle w:val="Hesber1st"/>
        <w:rPr>
          <w:rtl/>
        </w:rPr>
      </w:pPr>
    </w:p>
    <w:p w14:paraId="0F362B13" w14:textId="77777777" w:rsidR="00E51F8A" w:rsidRDefault="00E51F8A" w:rsidP="00E51F8A">
      <w:pPr>
        <w:pStyle w:val="Hesber1st"/>
        <w:rPr>
          <w:rtl/>
        </w:rPr>
      </w:pPr>
      <w:r>
        <w:rPr>
          <w:rFonts w:hint="cs"/>
          <w:rtl/>
        </w:rPr>
        <w:t>ב</w:t>
      </w:r>
      <w:r>
        <w:rPr>
          <w:rtl/>
        </w:rPr>
        <w:t>פסקה (ב) בסעיף 8ב המוצע</w:t>
      </w:r>
      <w:r>
        <w:rPr>
          <w:rFonts w:hint="cs"/>
          <w:rtl/>
        </w:rPr>
        <w:t xml:space="preserve"> </w:t>
      </w:r>
      <w:r>
        <w:rPr>
          <w:rtl/>
        </w:rPr>
        <w:t>מוצע להבהיר, כי לא יועבר מאגר מידע הכולל מידע על תושבי ישראל. לעניין זה, תושב ישראל הוא מי שרשום במרשם האוכלוסין כמשמעותו לפי חוק מרשם האוכלוסין, התשכ"ה-1965, הגדרה הכוללת אזרחים ישראלים, גם כאלה שמרכז חייהם מחוץ לישראל, וכן תושבי קבע ותושבי ארעי בישראל. כמו כן, מוצע לקבוע, כי מאגר מידע כאמור יועבר רק לגורמים שייקבעו בכללים ואשר מוסמכים להחזיק במידע מהסוג הכלול במאגר על-פי הדין החל עליהם.</w:t>
      </w:r>
    </w:p>
    <w:p w14:paraId="2C1F2888" w14:textId="77777777" w:rsidR="00E51F8A" w:rsidRDefault="00E51F8A" w:rsidP="00E51F8A">
      <w:pPr>
        <w:pStyle w:val="Hesber1st"/>
        <w:rPr>
          <w:rtl/>
        </w:rPr>
      </w:pPr>
    </w:p>
    <w:p w14:paraId="4262BED3" w14:textId="77777777" w:rsidR="00E51F8A" w:rsidRDefault="00E51F8A" w:rsidP="00E51F8A">
      <w:pPr>
        <w:pStyle w:val="Hesber1st"/>
        <w:rPr>
          <w:rtl/>
        </w:rPr>
      </w:pPr>
      <w:r>
        <w:rPr>
          <w:rFonts w:hint="cs"/>
          <w:rtl/>
        </w:rPr>
        <w:t>ב</w:t>
      </w:r>
      <w:r>
        <w:rPr>
          <w:rtl/>
        </w:rPr>
        <w:t>פסקה (ג) בסעיף 8ב המוצע</w:t>
      </w:r>
      <w:r>
        <w:rPr>
          <w:rFonts w:hint="cs"/>
          <w:rtl/>
        </w:rPr>
        <w:t xml:space="preserve"> </w:t>
      </w:r>
      <w:r>
        <w:rPr>
          <w:rtl/>
        </w:rPr>
        <w:t>מוצע לקבוע תנאים נוספים להעברת מאגרי מידע. ראשית, מוצע לקבוע כי השימוש במאגר המידע בידי הגורם שאליו יועבר יהיה רק למטרה שלשמה נמסר לו, אלא אם ניתן אישור לשימוש אחר על-ידי ראש השירות, מטעמים מיוחדים שיירשמו. בכל מקרה, ראש השירות יאשר את השימוש האחר רק במקרים שבהם מטרת השימוש נדרשת אף היא לצורך מילוי תפקידיו של השירות. שנית, המאגר לא יועבר מהגורם אליו הועבר לגורם אחר, אלא בכפוף לאישור ראש השירות ורק מטעמים מיוחדים שיירשמו. שלישית, הגורם שאליו יועבר המידע לא יהיה רשאי להעביר מידע מתוכו לידי גורם נוסף כלשהו אלא בכפוף לאישור ראש השירות, מטעמים מיוחדים שיירשמו</w:t>
      </w:r>
      <w:r>
        <w:rPr>
          <w:rFonts w:hint="cs"/>
          <w:rtl/>
        </w:rPr>
        <w:t xml:space="preserve">. </w:t>
      </w:r>
      <w:r>
        <w:rPr>
          <w:rtl/>
        </w:rPr>
        <w:t xml:space="preserve">רביעית, על הגורם אליו הועבר המאגר להתחייב להקפיד על סודיות ואבטחת המידע המצוי בו. </w:t>
      </w:r>
    </w:p>
    <w:p w14:paraId="613F8130" w14:textId="77777777" w:rsidR="00E51F8A" w:rsidRDefault="00E51F8A" w:rsidP="00E51F8A">
      <w:pPr>
        <w:pStyle w:val="Hesber1st"/>
        <w:rPr>
          <w:rtl/>
        </w:rPr>
      </w:pPr>
    </w:p>
    <w:p w14:paraId="5C4BF4CA" w14:textId="77777777" w:rsidR="00E51F8A" w:rsidRDefault="00E51F8A" w:rsidP="00E51F8A">
      <w:pPr>
        <w:pStyle w:val="Hesber1st"/>
        <w:rPr>
          <w:rtl/>
        </w:rPr>
      </w:pPr>
      <w:r>
        <w:rPr>
          <w:rFonts w:hint="cs"/>
          <w:rtl/>
        </w:rPr>
        <w:t>ב</w:t>
      </w:r>
      <w:r>
        <w:rPr>
          <w:rtl/>
        </w:rPr>
        <w:t>פסקה (ד) בסעיף 8ב המוצע מוצע לקבוע כי, בדומה לדיווחים העיתיים שראש השירות יידרש למסור לראש הממשלה, ליועץ המשפטי לממשלה ולוועדת הכנסת לענייני השירות בעניין קבלה, איסוף ושימוש במאגרי מידע מכוח סעיף 8א המוצע, כך הוא יידרש למסור דיווח לגורמים האמורים גם לעניין העברת מאגרי מידע, הגם שמדובר כאמור בסמכות שצפוי כי תופעל רק בהתקיימם של טעמים מיוחדים. דיווחים אלה יכללו פרטים על אודות המאגר שהועבר והמידע שנכלל בו, הצורך הביטחוני בהעברתו לשם מילוי תפקידי השירות וזהות הגורם שאליו הועבר. זאת, במטרה לפקח על פעילות השירות לעניין העברתם של מאגרי מידע מכוח הסעיף המוצע ולהבטיח כי זו נעשית בהתאם לתנאים הקבועים לעניין זה בסעיף זה ושייקבעו בכללים, ותוך הגשמת התכליות שלשמן ניתנה סמכות זו לשירות, תוך פגיעה פחותה ככל הניתן בזכויות יסוד.</w:t>
      </w:r>
    </w:p>
    <w:p w14:paraId="68FAC7DD" w14:textId="77777777" w:rsidR="00E51F8A" w:rsidRDefault="00E51F8A" w:rsidP="00E51F8A">
      <w:pPr>
        <w:pStyle w:val="Hesber1st"/>
        <w:rPr>
          <w:rtl/>
        </w:rPr>
      </w:pPr>
    </w:p>
    <w:p w14:paraId="77D26B5C" w14:textId="77777777" w:rsidR="00E51F8A" w:rsidRDefault="00E51F8A" w:rsidP="00E51F8A">
      <w:pPr>
        <w:pStyle w:val="Hesber1st"/>
        <w:rPr>
          <w:rtl/>
        </w:rPr>
      </w:pPr>
      <w:r w:rsidRPr="00E24AB9">
        <w:rPr>
          <w:b/>
          <w:bCs/>
          <w:rtl/>
        </w:rPr>
        <w:t xml:space="preserve">סעיף </w:t>
      </w:r>
      <w:r>
        <w:rPr>
          <w:rFonts w:hint="cs"/>
          <w:b/>
          <w:bCs/>
          <w:rtl/>
        </w:rPr>
        <w:t>6</w:t>
      </w:r>
    </w:p>
    <w:p w14:paraId="5E6D8ED9" w14:textId="77777777" w:rsidR="00E51F8A" w:rsidRDefault="00E51F8A" w:rsidP="00E51F8A">
      <w:pPr>
        <w:pStyle w:val="Hesber1st"/>
        <w:rPr>
          <w:rtl/>
        </w:rPr>
      </w:pPr>
      <w:r>
        <w:rPr>
          <w:rtl/>
        </w:rPr>
        <w:t>בהתאם לקבוע בסעיף 9 לחוק השב"כ, מוסמך השירות לבצע חיפוש על גופו של אדם, בכליו, במטענו, בכלי רכבו או בטובין אחרים שבידיו, ולתפוס חפץ או לאסוף מידע למטרות מודיעין במעברי גבול. למען הסר ספק, מוצע לציין בחוק במפורש כי המונחים "טובין" או "חפץ" מתייחסים גם למחשב ולדבר המגלם חומר מחשב</w:t>
      </w:r>
      <w:r>
        <w:rPr>
          <w:rFonts w:hint="cs"/>
          <w:rtl/>
        </w:rPr>
        <w:t xml:space="preserve">. </w:t>
      </w:r>
      <w:r>
        <w:rPr>
          <w:rtl/>
        </w:rPr>
        <w:t>בהתאם לקבוע בפסקה (ב) לסעיף 9, בתנאים מסוימים, מוסמך השירות לבצע חיפוש כאמור ותפיסה שלא בנוכחות בעלי החפץ או המחזיק בו ובלא ידיעתו, ומוצע להבהיר כי החיפוש או התפיסה מכוח סעיף זה יבוצעו מקום בו לא ניתן, באופן סביר, להשיג את מטרת החיפוש והתפיסה בדרך אחרת שפגיעתה בזכויות פחותה.</w:t>
      </w:r>
      <w:r>
        <w:rPr>
          <w:rFonts w:hint="cs"/>
          <w:rtl/>
        </w:rPr>
        <w:t xml:space="preserve"> </w:t>
      </w:r>
    </w:p>
    <w:p w14:paraId="2C0E005D" w14:textId="77777777" w:rsidR="00E51F8A" w:rsidRDefault="00E51F8A" w:rsidP="00E51F8A">
      <w:pPr>
        <w:pStyle w:val="Hesber1st"/>
        <w:rPr>
          <w:rtl/>
        </w:rPr>
      </w:pPr>
    </w:p>
    <w:p w14:paraId="3030A7FC" w14:textId="77777777" w:rsidR="00E51F8A" w:rsidRPr="00862D2D" w:rsidRDefault="00E51F8A" w:rsidP="00E51F8A">
      <w:pPr>
        <w:pStyle w:val="Hesber1st"/>
        <w:rPr>
          <w:rtl/>
        </w:rPr>
      </w:pPr>
      <w:r w:rsidRPr="00862D2D">
        <w:rPr>
          <w:b/>
          <w:bCs/>
          <w:rtl/>
        </w:rPr>
        <w:t xml:space="preserve">סעיף </w:t>
      </w:r>
      <w:r>
        <w:rPr>
          <w:rFonts w:hint="cs"/>
          <w:b/>
          <w:bCs/>
          <w:rtl/>
        </w:rPr>
        <w:t>7</w:t>
      </w:r>
      <w:r w:rsidRPr="00862D2D">
        <w:rPr>
          <w:b/>
          <w:bCs/>
          <w:rtl/>
        </w:rPr>
        <w:tab/>
      </w:r>
    </w:p>
    <w:p w14:paraId="55A92ADD" w14:textId="77777777" w:rsidR="00E51F8A" w:rsidRDefault="00E51F8A" w:rsidP="00E51F8A">
      <w:pPr>
        <w:pStyle w:val="Hesber1st"/>
        <w:rPr>
          <w:rtl/>
        </w:rPr>
      </w:pPr>
      <w:r w:rsidRPr="00862D2D">
        <w:rPr>
          <w:rtl/>
        </w:rPr>
        <w:t>בהתאם לקבוע בסעיף 10 לחוק השב"כ, השירות מוסמך לבצע חיפוש סמוי בכלי רכב ובחצרים למטרות מודיעין. מוצע להבהיר כי סמכות זו מתייחסת גם לחיפוש במחשב או בחומר מחשב, לרבות אם החיפוש מבוצע בדרך של חדירה למחשב, כהגדרתה בחוק המחשבים</w:t>
      </w:r>
      <w:r>
        <w:rPr>
          <w:rFonts w:hint="cs"/>
          <w:rtl/>
        </w:rPr>
        <w:t xml:space="preserve">, התשנ"ה-1995 (להלן </w:t>
      </w:r>
      <w:r>
        <w:rPr>
          <w:rtl/>
        </w:rPr>
        <w:t>–</w:t>
      </w:r>
      <w:r>
        <w:rPr>
          <w:rFonts w:hint="cs"/>
          <w:rtl/>
        </w:rPr>
        <w:t xml:space="preserve"> חוק המחשבים)</w:t>
      </w:r>
      <w:r w:rsidRPr="00862D2D">
        <w:rPr>
          <w:rtl/>
        </w:rPr>
        <w:t xml:space="preserve">. </w:t>
      </w:r>
      <w:r w:rsidRPr="00862D2D">
        <w:rPr>
          <w:rFonts w:hint="cs"/>
          <w:rtl/>
        </w:rPr>
        <w:t>בכך</w:t>
      </w:r>
      <w:r>
        <w:rPr>
          <w:rFonts w:hint="cs"/>
          <w:rtl/>
        </w:rPr>
        <w:t>,</w:t>
      </w:r>
      <w:r w:rsidRPr="00862D2D">
        <w:rPr>
          <w:rFonts w:hint="cs"/>
          <w:rtl/>
        </w:rPr>
        <w:t xml:space="preserve"> נוסח זה מבהיר גם כי</w:t>
      </w:r>
      <w:r w:rsidRPr="00862D2D">
        <w:rPr>
          <w:rtl/>
        </w:rPr>
        <w:t xml:space="preserve"> מסורות לשירות סמכויות עזר הנדרשות לשם ביצוע הפעולה במישור הטכני, לרבות</w:t>
      </w:r>
      <w:r w:rsidRPr="00862D2D">
        <w:rPr>
          <w:rFonts w:hint="cs"/>
          <w:rtl/>
        </w:rPr>
        <w:t xml:space="preserve"> חדירה למחשב לשם</w:t>
      </w:r>
      <w:r w:rsidRPr="00862D2D">
        <w:rPr>
          <w:rtl/>
        </w:rPr>
        <w:t xml:space="preserve"> התקנה והסרה של </w:t>
      </w:r>
      <w:r w:rsidRPr="00862D2D">
        <w:rPr>
          <w:rFonts w:hint="cs"/>
          <w:rtl/>
        </w:rPr>
        <w:t>ה</w:t>
      </w:r>
      <w:r w:rsidRPr="00862D2D">
        <w:rPr>
          <w:rtl/>
        </w:rPr>
        <w:t>אמצעי</w:t>
      </w:r>
      <w:r w:rsidRPr="00862D2D">
        <w:rPr>
          <w:rFonts w:hint="cs"/>
          <w:rtl/>
        </w:rPr>
        <w:t xml:space="preserve"> </w:t>
      </w:r>
      <w:r>
        <w:rPr>
          <w:rFonts w:hint="cs"/>
          <w:rtl/>
        </w:rPr>
        <w:t xml:space="preserve">הנדרש </w:t>
      </w:r>
      <w:r w:rsidRPr="00862D2D">
        <w:rPr>
          <w:rFonts w:hint="cs"/>
          <w:rtl/>
        </w:rPr>
        <w:t>לביצוע החיפוש בחומ</w:t>
      </w:r>
      <w:r>
        <w:rPr>
          <w:rFonts w:hint="cs"/>
          <w:rtl/>
        </w:rPr>
        <w:t>ר</w:t>
      </w:r>
      <w:r w:rsidRPr="00862D2D">
        <w:rPr>
          <w:rFonts w:hint="cs"/>
          <w:rtl/>
        </w:rPr>
        <w:t xml:space="preserve"> המחשב.</w:t>
      </w:r>
    </w:p>
    <w:p w14:paraId="55DE4297" w14:textId="77777777" w:rsidR="00E51F8A" w:rsidRPr="00862D2D" w:rsidRDefault="00E51F8A" w:rsidP="00E51F8A">
      <w:pPr>
        <w:pStyle w:val="Hesber1st"/>
        <w:rPr>
          <w:rtl/>
        </w:rPr>
      </w:pPr>
    </w:p>
    <w:p w14:paraId="4AAD80AF" w14:textId="77777777" w:rsidR="00E51F8A" w:rsidRDefault="00E51F8A" w:rsidP="00E51F8A">
      <w:pPr>
        <w:pStyle w:val="Hesber1st"/>
        <w:rPr>
          <w:rtl/>
        </w:rPr>
      </w:pPr>
      <w:r w:rsidRPr="00862D2D">
        <w:rPr>
          <w:rFonts w:hint="cs"/>
          <w:rtl/>
        </w:rPr>
        <w:t>ב</w:t>
      </w:r>
      <w:r w:rsidRPr="00862D2D">
        <w:rPr>
          <w:rtl/>
        </w:rPr>
        <w:t>פסקה (א) בסעיף 10 מוצע לציין במפורש כי סמכות החיפוש הסמוי הקבועה בסעיף זה, כוללת גם חיפוש במחשבים, היינו ביצוע חדירה לחומר מחשב ולדבר המג</w:t>
      </w:r>
      <w:r>
        <w:rPr>
          <w:rFonts w:hint="cs"/>
          <w:rtl/>
        </w:rPr>
        <w:t>ל</w:t>
      </w:r>
      <w:r w:rsidRPr="00862D2D">
        <w:rPr>
          <w:rtl/>
        </w:rPr>
        <w:t>ם חומר מחשב, כמשמעותם בחוק המחשבים. עוד מוצע להבהיר, כי החיפוש מכוח סעיף זה יבוצע מקום בו לא ניתן, באופן סביר, להשיג את מטרת החיפוש בדרך אחרת שפגיעתה בזכויות פחותה.</w:t>
      </w:r>
      <w:r>
        <w:rPr>
          <w:rtl/>
        </w:rPr>
        <w:t xml:space="preserve"> </w:t>
      </w:r>
    </w:p>
    <w:p w14:paraId="7D2E8DA4" w14:textId="77777777" w:rsidR="00E51F8A" w:rsidRDefault="00E51F8A" w:rsidP="00E51F8A">
      <w:pPr>
        <w:pStyle w:val="Hesber1st"/>
        <w:rPr>
          <w:rtl/>
        </w:rPr>
      </w:pPr>
    </w:p>
    <w:p w14:paraId="7DFCC522" w14:textId="77777777" w:rsidR="00E51F8A" w:rsidRDefault="00E51F8A" w:rsidP="00E51F8A">
      <w:pPr>
        <w:pStyle w:val="Hesber1st"/>
        <w:rPr>
          <w:rtl/>
        </w:rPr>
      </w:pPr>
      <w:r>
        <w:rPr>
          <w:rtl/>
        </w:rPr>
        <w:t>פסקה (ב) לסעיף 10</w:t>
      </w:r>
      <w:r>
        <w:rPr>
          <w:rFonts w:hint="cs"/>
          <w:rtl/>
        </w:rPr>
        <w:t xml:space="preserve"> </w:t>
      </w:r>
      <w:r>
        <w:rPr>
          <w:rtl/>
        </w:rPr>
        <w:t>מתייחסת לסמכות ראש השירות ל</w:t>
      </w:r>
      <w:r>
        <w:rPr>
          <w:rFonts w:hint="cs"/>
          <w:rtl/>
        </w:rPr>
        <w:t xml:space="preserve">יתן </w:t>
      </w:r>
      <w:r>
        <w:rPr>
          <w:rtl/>
        </w:rPr>
        <w:t>ה</w:t>
      </w:r>
      <w:r>
        <w:rPr>
          <w:rFonts w:hint="cs"/>
          <w:rtl/>
        </w:rPr>
        <w:t>י</w:t>
      </w:r>
      <w:r>
        <w:rPr>
          <w:rtl/>
        </w:rPr>
        <w:t xml:space="preserve">תר </w:t>
      </w:r>
      <w:r>
        <w:rPr>
          <w:rFonts w:hint="cs"/>
          <w:rtl/>
        </w:rPr>
        <w:t>ל</w:t>
      </w:r>
      <w:r>
        <w:rPr>
          <w:rtl/>
        </w:rPr>
        <w:t>חיפוש מקום בו שוכנע כי החיפוש חיוני ואינו סובל דיחוי וכי לא ניתן לקבל היתר מאת ראש הממשלה מבעוד מועד בשל הדחיפות האמורה. מוצע לצמצם את פרק הזמן במסגרתו יידרש ראש השירות לדווח לראש הממשלה על מתן ההיתר כך שיעמוד על עד 48 שעות וכן להוסיף כי ראש הממשלה רשאי לבטל את ההיתר או להאריכו.</w:t>
      </w:r>
    </w:p>
    <w:p w14:paraId="6523B398" w14:textId="77777777" w:rsidR="00E51F8A" w:rsidRDefault="00E51F8A" w:rsidP="00E51F8A">
      <w:pPr>
        <w:pStyle w:val="Hesber1st"/>
        <w:rPr>
          <w:rtl/>
        </w:rPr>
      </w:pPr>
    </w:p>
    <w:p w14:paraId="25ADAD01" w14:textId="77777777" w:rsidR="00E51F8A" w:rsidRDefault="00E51F8A" w:rsidP="00E51F8A">
      <w:pPr>
        <w:pStyle w:val="Hesber1st"/>
        <w:rPr>
          <w:rtl/>
        </w:rPr>
      </w:pPr>
      <w:r>
        <w:rPr>
          <w:rFonts w:hint="cs"/>
          <w:rtl/>
        </w:rPr>
        <w:t>ב</w:t>
      </w:r>
      <w:r>
        <w:rPr>
          <w:rtl/>
        </w:rPr>
        <w:t>פסקה (ג) לסעיף 10</w:t>
      </w:r>
      <w:r>
        <w:rPr>
          <w:rFonts w:hint="cs"/>
          <w:rtl/>
        </w:rPr>
        <w:t xml:space="preserve"> </w:t>
      </w:r>
      <w:r>
        <w:rPr>
          <w:rtl/>
        </w:rPr>
        <w:t>מוצע להוסיף כי הבקשה להיתר תכלול גם את פירוט בדבר הצורך באיסופו של המידע ואופן ביצוע החיפוש, ככל שזה ידוע מראש.</w:t>
      </w:r>
    </w:p>
    <w:p w14:paraId="12D2D097" w14:textId="77777777" w:rsidR="00E51F8A" w:rsidRDefault="00E51F8A" w:rsidP="00E51F8A">
      <w:pPr>
        <w:pStyle w:val="Hesber1st"/>
        <w:rPr>
          <w:rtl/>
        </w:rPr>
      </w:pPr>
    </w:p>
    <w:p w14:paraId="3C98E06F" w14:textId="77777777" w:rsidR="00E51F8A" w:rsidRDefault="00E51F8A" w:rsidP="00E51F8A">
      <w:pPr>
        <w:pStyle w:val="Hesber1st"/>
        <w:rPr>
          <w:rtl/>
        </w:rPr>
      </w:pPr>
      <w:r>
        <w:rPr>
          <w:rFonts w:hint="cs"/>
          <w:rtl/>
        </w:rPr>
        <w:t>ב</w:t>
      </w:r>
      <w:r>
        <w:rPr>
          <w:rtl/>
        </w:rPr>
        <w:t xml:space="preserve">פסקה (ד) לסעיף </w:t>
      </w:r>
      <w:r>
        <w:rPr>
          <w:rFonts w:hint="cs"/>
          <w:rtl/>
        </w:rPr>
        <w:t xml:space="preserve">10 </w:t>
      </w:r>
      <w:r>
        <w:rPr>
          <w:rtl/>
        </w:rPr>
        <w:t>מוצע להוסיף, נוסף לדיווח שנמסר ליועץ המשפטי לממשלה, גם דיווח עיתי לוועדת הכנסת לענייני שירות. כמו כן, מוצע להוסיף כי הדיווח יכלול את התכליות לשמם התבקשו ההיתרים, מספר ההיתרים שניתנו והערכה בדבר מידת התועלת שהופקה מהמידע שהתקבל כתוצאה ממתן ההיתרים.</w:t>
      </w:r>
    </w:p>
    <w:p w14:paraId="4FE6E946" w14:textId="77777777" w:rsidR="00E51F8A" w:rsidRDefault="00E51F8A" w:rsidP="00E51F8A">
      <w:pPr>
        <w:pStyle w:val="Hesber1st"/>
        <w:rPr>
          <w:rtl/>
        </w:rPr>
      </w:pPr>
    </w:p>
    <w:p w14:paraId="6890124C" w14:textId="77777777" w:rsidR="00E51F8A" w:rsidRDefault="00E51F8A" w:rsidP="00E51F8A">
      <w:pPr>
        <w:pStyle w:val="Hesber1st"/>
        <w:rPr>
          <w:rtl/>
        </w:rPr>
      </w:pPr>
      <w:r>
        <w:rPr>
          <w:rFonts w:hint="cs"/>
          <w:rtl/>
        </w:rPr>
        <w:t>ב</w:t>
      </w:r>
      <w:r>
        <w:rPr>
          <w:rtl/>
        </w:rPr>
        <w:t>פסקה (ה) לסעיף 10</w:t>
      </w:r>
      <w:r>
        <w:rPr>
          <w:rFonts w:hint="cs"/>
          <w:rtl/>
        </w:rPr>
        <w:t xml:space="preserve"> </w:t>
      </w:r>
      <w:r>
        <w:rPr>
          <w:rtl/>
        </w:rPr>
        <w:t xml:space="preserve">מוצע לסייג את סמכויות השירות בנוגע לחיפוש אצל בעלי מקצוע המנויים בסעיף </w:t>
      </w:r>
      <w:r>
        <w:rPr>
          <w:rtl/>
        </w:rPr>
        <w:lastRenderedPageBreak/>
        <w:t>9א לחוק האזנת סתר, התשל"ט-1979 (להלן – חוק האזנת סתר), ולקבוע בהקשר זה הסדר דומה להסדר בעניין האזנת סתר לשיחות של בעלי המקצוע האמורים, לפי סעיף 9א לחוק האזנת סתר</w:t>
      </w:r>
      <w:r>
        <w:rPr>
          <w:rFonts w:hint="cs"/>
          <w:rtl/>
        </w:rPr>
        <w:t>, וזאת מבלי לגרוע מן האמור בפסקאות (א) עד (ד) לסעיף זה</w:t>
      </w:r>
      <w:r>
        <w:rPr>
          <w:rtl/>
        </w:rPr>
        <w:t>. על פי המוצע, הסדר זה מחייב בקשה של ראש השירות לקבלת צו מבית משפט, אם יש חשד שבעל מקצוע עבר עבירת פשע שיש בה סכנה לפגיעה בביטחון המדינה. בקשה כזו מחייבת את אישור היועץ המשפטי לממשלה או פרקליט המדינה.</w:t>
      </w:r>
    </w:p>
    <w:p w14:paraId="7A1ACEB7" w14:textId="77777777" w:rsidR="00E51F8A" w:rsidRDefault="00E51F8A" w:rsidP="00E51F8A">
      <w:pPr>
        <w:pStyle w:val="Hesber1st"/>
        <w:rPr>
          <w:rtl/>
        </w:rPr>
      </w:pPr>
    </w:p>
    <w:p w14:paraId="71792BE7" w14:textId="77777777" w:rsidR="00E51F8A" w:rsidRDefault="00E51F8A" w:rsidP="00E51F8A">
      <w:pPr>
        <w:pStyle w:val="Hesber1st"/>
        <w:rPr>
          <w:rtl/>
        </w:rPr>
      </w:pPr>
      <w:r>
        <w:rPr>
          <w:rFonts w:hint="cs"/>
          <w:rtl/>
        </w:rPr>
        <w:t>ב</w:t>
      </w:r>
      <w:r>
        <w:rPr>
          <w:rtl/>
        </w:rPr>
        <w:t>פסקה (ו) לסעיף 10</w:t>
      </w:r>
      <w:r>
        <w:rPr>
          <w:rFonts w:hint="cs"/>
          <w:rtl/>
        </w:rPr>
        <w:t xml:space="preserve"> </w:t>
      </w:r>
      <w:r>
        <w:rPr>
          <w:rtl/>
        </w:rPr>
        <w:t xml:space="preserve">מוצע </w:t>
      </w:r>
      <w:bookmarkStart w:id="4" w:name="_Hlk151626965"/>
      <w:r>
        <w:rPr>
          <w:rtl/>
        </w:rPr>
        <w:t>לקבוע כי ככל שאגב ביצוע חדירה לדבר המגלם חומר מחשב יתקבל מידע מתקשורת בין מחשבים, קבלת המידע האמור לא תיחשב להאזנת סתר, לפי חוק האזנת סתר</w:t>
      </w:r>
      <w:r>
        <w:rPr>
          <w:rFonts w:hint="cs"/>
          <w:rtl/>
        </w:rPr>
        <w:t>.</w:t>
      </w:r>
    </w:p>
    <w:bookmarkEnd w:id="4"/>
    <w:p w14:paraId="50962CA3" w14:textId="77777777" w:rsidR="00E51F8A" w:rsidRDefault="00E51F8A" w:rsidP="00E51F8A">
      <w:pPr>
        <w:pStyle w:val="Hesber1st"/>
        <w:rPr>
          <w:rtl/>
        </w:rPr>
      </w:pPr>
    </w:p>
    <w:p w14:paraId="2C3B3C76" w14:textId="77777777" w:rsidR="00E51F8A" w:rsidRDefault="00E51F8A" w:rsidP="00E51F8A">
      <w:pPr>
        <w:pStyle w:val="Hesber1st"/>
        <w:rPr>
          <w:rtl/>
        </w:rPr>
      </w:pPr>
      <w:r>
        <w:rPr>
          <w:rFonts w:hint="cs"/>
          <w:rtl/>
        </w:rPr>
        <w:t>ב</w:t>
      </w:r>
      <w:r>
        <w:rPr>
          <w:rtl/>
        </w:rPr>
        <w:t>פסקה (ז) בסעיף 10</w:t>
      </w:r>
      <w:r>
        <w:rPr>
          <w:rFonts w:hint="cs"/>
          <w:rtl/>
        </w:rPr>
        <w:t xml:space="preserve"> </w:t>
      </w:r>
      <w:r>
        <w:rPr>
          <w:rtl/>
        </w:rPr>
        <w:t>מוצע לקבוע כי בעל תפקיד מבין עובדי השירות אשר יוסמך לבצע חדירה לחומר מחשב, יקבל הסמכה לביצוע האמור רק לאחר שעבר הכשרה מתאימה, כפי שיקבע ראש השרות בכללים, וכן כי ראש השירות רשאי לקבוע הכשרות שונות לסוגי פעולות שונות הדרושות לצורך ביצוע החדירה או לעניין סוגים שונים של חומרי מחשב.</w:t>
      </w:r>
    </w:p>
    <w:p w14:paraId="778B4D23" w14:textId="77777777" w:rsidR="00E51F8A" w:rsidRDefault="00E51F8A" w:rsidP="00E51F8A">
      <w:pPr>
        <w:pStyle w:val="Hesber1st"/>
        <w:rPr>
          <w:rtl/>
        </w:rPr>
      </w:pPr>
    </w:p>
    <w:p w14:paraId="361B227D" w14:textId="77777777" w:rsidR="00E51F8A" w:rsidRDefault="00E51F8A" w:rsidP="00E51F8A">
      <w:pPr>
        <w:pStyle w:val="Hesber1st"/>
        <w:rPr>
          <w:rtl/>
        </w:rPr>
      </w:pPr>
      <w:r>
        <w:rPr>
          <w:rFonts w:hint="cs"/>
          <w:rtl/>
        </w:rPr>
        <w:t>ב</w:t>
      </w:r>
      <w:r>
        <w:rPr>
          <w:rtl/>
        </w:rPr>
        <w:t xml:space="preserve">פסקה (ח) בסעיף 10 מוצע להבהיר כי שימוש במאגר מידע כהגדרתו בסעיף 8א לעיל, אשר יתקבל אגב ביצוע היתר לפי סעיף 10 לחוק, ייעשה בהתאם להוראות הקבועות בסעיף 8א. עוד יובהר, כי החלת סעיף 8א, לרבות הצורך בהיתר מאת ראש הממשלה, מתייחסת למאגר מידע אשר נועד לשמש את השירות כמאגר מידע כללי, ולא ביחס למאגר מידע אשר נאסף או התקבל לתכלית אחרת, ממוקדת ומצומצמת. </w:t>
      </w:r>
    </w:p>
    <w:p w14:paraId="4A06E91B" w14:textId="77777777" w:rsidR="00E51F8A" w:rsidRDefault="00E51F8A" w:rsidP="00E51F8A">
      <w:pPr>
        <w:pStyle w:val="Hesber1st"/>
        <w:rPr>
          <w:rtl/>
        </w:rPr>
      </w:pPr>
    </w:p>
    <w:p w14:paraId="06298688" w14:textId="77777777" w:rsidR="00E51F8A" w:rsidRDefault="00E51F8A" w:rsidP="00E51F8A">
      <w:pPr>
        <w:pStyle w:val="Hesber1st"/>
        <w:rPr>
          <w:rtl/>
        </w:rPr>
      </w:pPr>
      <w:r w:rsidRPr="00E24AB9">
        <w:rPr>
          <w:b/>
          <w:bCs/>
          <w:rtl/>
        </w:rPr>
        <w:t xml:space="preserve">סעיף </w:t>
      </w:r>
      <w:r>
        <w:rPr>
          <w:rFonts w:hint="cs"/>
          <w:b/>
          <w:bCs/>
          <w:rtl/>
        </w:rPr>
        <w:t>8</w:t>
      </w:r>
      <w:r>
        <w:rPr>
          <w:rtl/>
        </w:rPr>
        <w:tab/>
      </w:r>
    </w:p>
    <w:p w14:paraId="021ABB18" w14:textId="77777777" w:rsidR="00E51F8A" w:rsidRDefault="00E51F8A" w:rsidP="00E51F8A">
      <w:pPr>
        <w:pStyle w:val="Hesber1st"/>
        <w:rPr>
          <w:rtl/>
        </w:rPr>
      </w:pPr>
      <w:r>
        <w:rPr>
          <w:rtl/>
        </w:rPr>
        <w:t xml:space="preserve">מוצע להוסיף סעיף חדש לחוק – סעיף 10א, שעניינו ביצוע פעולות בדבר המגלם חומר מחשב למטרת סיכול של פעילות טרור או ריגול, כמפורט להלן. לאור התגברות פעילות טרור, לשם הכנת מעשי טרור, תיאומם, ארגונם או הסתה לביצועם על ידי שימוש בטכנולוגיה מתקדמת הקשורה למחשבים, ישנו צורך חיוני במתן סמכות לביצוע פעולות בדבר המגלם חומר מחשב הקשור לפעילות טרור, או לפעילות ריגול במטרה לשבש את פעילות הטרור או לסכלה כדי למנוע פגיעה בחיי אדם או למנוע פגיעה חמורה בביטחון המדינה. </w:t>
      </w:r>
    </w:p>
    <w:p w14:paraId="56883739" w14:textId="77777777" w:rsidR="00E51F8A" w:rsidRDefault="00E51F8A" w:rsidP="00E51F8A">
      <w:pPr>
        <w:pStyle w:val="Hesber1st"/>
        <w:rPr>
          <w:rtl/>
        </w:rPr>
      </w:pPr>
      <w:r>
        <w:rPr>
          <w:rFonts w:hint="cs"/>
          <w:rtl/>
        </w:rPr>
        <w:t>ביחס ל</w:t>
      </w:r>
      <w:r>
        <w:rPr>
          <w:rtl/>
        </w:rPr>
        <w:t>פסקה (א) בסעיף 10א המוצע</w:t>
      </w:r>
      <w:r>
        <w:rPr>
          <w:rFonts w:hint="cs"/>
          <w:rtl/>
        </w:rPr>
        <w:t xml:space="preserve">, </w:t>
      </w:r>
      <w:r>
        <w:rPr>
          <w:rtl/>
        </w:rPr>
        <w:t xml:space="preserve">כדי להבטיח שימוש זהיר ומידתי בסמכות זו, מוצע לקבוע כי ככלל, רק ראש הממשלה יהיה הגורם המוסמך להתיר פעולה כאמור, על פי בקשת ראש </w:t>
      </w:r>
      <w:r>
        <w:rPr>
          <w:rFonts w:hint="cs"/>
          <w:rtl/>
        </w:rPr>
        <w:t>השירות</w:t>
      </w:r>
      <w:r>
        <w:rPr>
          <w:rtl/>
        </w:rPr>
        <w:t xml:space="preserve">, וכן כי העילות לבקשה יהיו אם הפעולה חיונית לשם סיכול או מניעה של פעילות טרור או ריגול שיש בה משום סיכון חיי אדם או פגיעה חמורה בביטחון המדינה, וכי אין דרך סבירה אחרת שפגיעתה בזכויות פחותה, כדי להשיג את התכלית האמורה. </w:t>
      </w:r>
      <w:r>
        <w:rPr>
          <w:rFonts w:hint="cs"/>
          <w:rtl/>
        </w:rPr>
        <w:t xml:space="preserve">עוד מוצע לקבוע, כי </w:t>
      </w:r>
      <w:r w:rsidRPr="00847CCF">
        <w:rPr>
          <w:rtl/>
        </w:rPr>
        <w:t xml:space="preserve">בקשה להיתר ביחס לפעולה בחומר מחשב המשמש בעלי מקצוע כאמור בסעיף 10(ה) </w:t>
      </w:r>
      <w:r>
        <w:rPr>
          <w:rFonts w:hint="cs"/>
          <w:rtl/>
        </w:rPr>
        <w:t xml:space="preserve">המוצע </w:t>
      </w:r>
      <w:r w:rsidRPr="00847CCF">
        <w:rPr>
          <w:rtl/>
        </w:rPr>
        <w:t>תוגש באישור היועץ המשפטי לממשלה או פרקליט המדינה</w:t>
      </w:r>
      <w:r>
        <w:rPr>
          <w:rFonts w:hint="cs"/>
          <w:rtl/>
        </w:rPr>
        <w:t>, בדומה להסדרים אחרים הנוגעים ל</w:t>
      </w:r>
      <w:r>
        <w:rPr>
          <w:rtl/>
        </w:rPr>
        <w:t xml:space="preserve">בעלי המקצוע </w:t>
      </w:r>
      <w:r>
        <w:rPr>
          <w:rFonts w:hint="cs"/>
          <w:rtl/>
        </w:rPr>
        <w:t>המפורטים</w:t>
      </w:r>
      <w:r>
        <w:rPr>
          <w:rtl/>
        </w:rPr>
        <w:t xml:space="preserve"> </w:t>
      </w:r>
      <w:r>
        <w:rPr>
          <w:rFonts w:hint="cs"/>
          <w:rtl/>
        </w:rPr>
        <w:t>ב</w:t>
      </w:r>
      <w:r>
        <w:rPr>
          <w:rtl/>
        </w:rPr>
        <w:t>סעיף 9א לחוק האזנת סתר</w:t>
      </w:r>
      <w:r w:rsidRPr="00847CCF">
        <w:rPr>
          <w:rtl/>
        </w:rPr>
        <w:t>.</w:t>
      </w:r>
    </w:p>
    <w:p w14:paraId="42BB65B1" w14:textId="77777777" w:rsidR="00E51F8A" w:rsidRDefault="00E51F8A" w:rsidP="00E51F8A">
      <w:pPr>
        <w:pStyle w:val="Hesber1st"/>
        <w:rPr>
          <w:rtl/>
        </w:rPr>
      </w:pPr>
    </w:p>
    <w:p w14:paraId="2A391BEE" w14:textId="77777777" w:rsidR="00E51F8A" w:rsidRDefault="00E51F8A" w:rsidP="00E51F8A">
      <w:pPr>
        <w:pStyle w:val="Hesber1st"/>
        <w:rPr>
          <w:rtl/>
        </w:rPr>
      </w:pPr>
      <w:r>
        <w:rPr>
          <w:rFonts w:hint="cs"/>
          <w:rtl/>
        </w:rPr>
        <w:t>ביחס ל</w:t>
      </w:r>
      <w:r>
        <w:rPr>
          <w:rtl/>
        </w:rPr>
        <w:t>פסקה (ב) בסעיף 10א המוצע</w:t>
      </w:r>
      <w:r>
        <w:rPr>
          <w:rFonts w:hint="cs"/>
          <w:rtl/>
        </w:rPr>
        <w:t xml:space="preserve">, </w:t>
      </w:r>
      <w:r>
        <w:rPr>
          <w:rtl/>
        </w:rPr>
        <w:t xml:space="preserve">מאחר שעשויות להתקיים נסיבות חריגות שבהן ביצוע פעולה כאמור הוא חיוני למטרות האמורות, ואינו סובל דיחוי עד לקבלת היתר </w:t>
      </w:r>
      <w:r w:rsidRPr="006911BF">
        <w:rPr>
          <w:rtl/>
        </w:rPr>
        <w:t>כנדרש, מוצע להסמיך את ראש השירות להתיר לבצע פעולה כאמור, ואולם תוקפו של היתר זה יהיה מוגבל ל–48 שעות</w:t>
      </w:r>
      <w:r w:rsidRPr="006911BF">
        <w:rPr>
          <w:rFonts w:hint="cs"/>
          <w:rtl/>
        </w:rPr>
        <w:t xml:space="preserve">, וניתן יהיה להאריכו </w:t>
      </w:r>
      <w:r w:rsidRPr="006911BF">
        <w:rPr>
          <w:rFonts w:hint="cs"/>
          <w:rtl/>
        </w:rPr>
        <w:lastRenderedPageBreak/>
        <w:t>בהתאם להוראות פסקה (א), ככל שהדבר נדרש</w:t>
      </w:r>
      <w:r w:rsidRPr="006911BF">
        <w:rPr>
          <w:rtl/>
        </w:rPr>
        <w:t>.</w:t>
      </w:r>
    </w:p>
    <w:p w14:paraId="6BF15120" w14:textId="77777777" w:rsidR="00E51F8A" w:rsidRDefault="00E51F8A" w:rsidP="00E51F8A">
      <w:pPr>
        <w:pStyle w:val="Hesber1st"/>
        <w:rPr>
          <w:rtl/>
        </w:rPr>
      </w:pPr>
    </w:p>
    <w:p w14:paraId="23C22666" w14:textId="77777777" w:rsidR="00E51F8A" w:rsidRDefault="00E51F8A" w:rsidP="00E51F8A">
      <w:pPr>
        <w:pStyle w:val="Hesber1st"/>
        <w:rPr>
          <w:rtl/>
        </w:rPr>
      </w:pPr>
      <w:r>
        <w:rPr>
          <w:rFonts w:hint="cs"/>
          <w:rtl/>
        </w:rPr>
        <w:t>ב</w:t>
      </w:r>
      <w:r>
        <w:rPr>
          <w:rtl/>
        </w:rPr>
        <w:t>פסקה (ג)</w:t>
      </w:r>
      <w:r>
        <w:rPr>
          <w:rFonts w:hint="cs"/>
          <w:rtl/>
        </w:rPr>
        <w:t xml:space="preserve"> </w:t>
      </w:r>
      <w:r>
        <w:rPr>
          <w:rtl/>
        </w:rPr>
        <w:t>בסעיף 10א המוצע</w:t>
      </w:r>
      <w:r>
        <w:rPr>
          <w:rFonts w:hint="cs"/>
          <w:rtl/>
        </w:rPr>
        <w:t xml:space="preserve"> מוצע לקבוע הוראות לעניין מסירת דיווח על מתן היתר בידי ראש השירות במקרים דחופים לביצוע פעולה בחומר מחשב לפי סעיף קטן (ב). בפסקה (1) </w:t>
      </w:r>
      <w:r>
        <w:rPr>
          <w:rtl/>
        </w:rPr>
        <w:t xml:space="preserve">מוצע לקבוע </w:t>
      </w:r>
      <w:r>
        <w:rPr>
          <w:rFonts w:hint="cs"/>
          <w:rtl/>
        </w:rPr>
        <w:t xml:space="preserve">כי </w:t>
      </w:r>
      <w:r>
        <w:rPr>
          <w:rtl/>
        </w:rPr>
        <w:t xml:space="preserve">ככל שראש השירות נתן היתר כאמור לפי סעיף (ב), </w:t>
      </w:r>
      <w:r w:rsidRPr="00847CCF">
        <w:rPr>
          <w:rtl/>
        </w:rPr>
        <w:t>למעט היתר ביחס לחומר מחשב המשמש בעלי מקצוע כאמור בסעיף 10(ה),</w:t>
      </w:r>
      <w:r>
        <w:rPr>
          <w:rFonts w:hint="cs"/>
          <w:rtl/>
        </w:rPr>
        <w:t xml:space="preserve"> </w:t>
      </w:r>
      <w:r>
        <w:rPr>
          <w:rtl/>
        </w:rPr>
        <w:t xml:space="preserve">ידווח באופן </w:t>
      </w:r>
      <w:proofErr w:type="spellStart"/>
      <w:r>
        <w:rPr>
          <w:rtl/>
        </w:rPr>
        <w:t>מיידי</w:t>
      </w:r>
      <w:proofErr w:type="spellEnd"/>
      <w:r>
        <w:rPr>
          <w:rtl/>
        </w:rPr>
        <w:t xml:space="preserve"> לראש הממשלה, אשר יהיה רשאי לבטלו. </w:t>
      </w:r>
      <w:r>
        <w:rPr>
          <w:rFonts w:hint="cs"/>
          <w:rtl/>
        </w:rPr>
        <w:t xml:space="preserve">בפסקה (2) מוצע לקבוע כי </w:t>
      </w:r>
      <w:r>
        <w:rPr>
          <w:rtl/>
        </w:rPr>
        <w:t>ככל שנתן ראש השירות היתר כאמור</w:t>
      </w:r>
      <w:r>
        <w:rPr>
          <w:rFonts w:hint="cs"/>
          <w:rtl/>
        </w:rPr>
        <w:t xml:space="preserve"> בסעיף קטן (ב)</w:t>
      </w:r>
      <w:r>
        <w:rPr>
          <w:rtl/>
        </w:rPr>
        <w:t xml:space="preserve"> ביחס לחומר מחשב המשמש בעל מקצוע כאמור בסעיף 10(ה) (בעלי המקצוע המנויים בסעיף 9א לחוק האזנת סתר), יועבר דיווח אל היועץ המשפטי לממשלה, אשר יהיה רשאי לבטלו. </w:t>
      </w:r>
      <w:r>
        <w:rPr>
          <w:rFonts w:hint="cs"/>
          <w:rtl/>
        </w:rPr>
        <w:t>זאת, בדומה להסדרי הדיווח הקבועים בסעיפים 5(ב) ו-5(ג) לחוק האזנת סתר.</w:t>
      </w:r>
    </w:p>
    <w:p w14:paraId="6A47CE93" w14:textId="77777777" w:rsidR="00E51F8A" w:rsidRDefault="00E51F8A" w:rsidP="00E51F8A">
      <w:pPr>
        <w:pStyle w:val="Hesber1st"/>
        <w:rPr>
          <w:rtl/>
        </w:rPr>
      </w:pPr>
    </w:p>
    <w:p w14:paraId="5FCCCE18" w14:textId="77777777" w:rsidR="00E51F8A" w:rsidRDefault="00E51F8A" w:rsidP="00E51F8A">
      <w:pPr>
        <w:pStyle w:val="Hesber1st"/>
        <w:rPr>
          <w:rtl/>
        </w:rPr>
      </w:pPr>
      <w:r>
        <w:rPr>
          <w:rFonts w:hint="cs"/>
          <w:rtl/>
        </w:rPr>
        <w:t>ב</w:t>
      </w:r>
      <w:r>
        <w:rPr>
          <w:rtl/>
        </w:rPr>
        <w:t>פסקה (ד) בסעיף 10א המוצע</w:t>
      </w:r>
      <w:r>
        <w:rPr>
          <w:rFonts w:hint="cs"/>
          <w:rtl/>
        </w:rPr>
        <w:t xml:space="preserve">, </w:t>
      </w:r>
      <w:r>
        <w:rPr>
          <w:rtl/>
        </w:rPr>
        <w:t xml:space="preserve">מוצע לקבוע הוראות בעניין הפירוט אשר יידרש בבקשה למתן היתר, לרבות תקופת תוקפו של היתר כאמור והוראות ותנאים מוצעים לעניין דרך ביצוע הפעולה המבוקשת. </w:t>
      </w:r>
    </w:p>
    <w:p w14:paraId="4F0B4FC0" w14:textId="77777777" w:rsidR="00E51F8A" w:rsidRDefault="00E51F8A" w:rsidP="00E51F8A">
      <w:pPr>
        <w:pStyle w:val="Hesber1st"/>
        <w:rPr>
          <w:rtl/>
        </w:rPr>
      </w:pPr>
    </w:p>
    <w:p w14:paraId="7FFF5B34" w14:textId="77777777" w:rsidR="00E51F8A" w:rsidRDefault="00E51F8A" w:rsidP="00E51F8A">
      <w:pPr>
        <w:pStyle w:val="Hesber1st"/>
        <w:rPr>
          <w:rtl/>
        </w:rPr>
      </w:pPr>
      <w:r>
        <w:rPr>
          <w:rFonts w:hint="cs"/>
          <w:rtl/>
        </w:rPr>
        <w:t>ב</w:t>
      </w:r>
      <w:r>
        <w:rPr>
          <w:rtl/>
        </w:rPr>
        <w:t>פסקה (ה) בסעיף 10א המוצע</w:t>
      </w:r>
      <w:r>
        <w:rPr>
          <w:rFonts w:hint="cs"/>
          <w:rtl/>
        </w:rPr>
        <w:t xml:space="preserve">, </w:t>
      </w:r>
      <w:r>
        <w:rPr>
          <w:rtl/>
        </w:rPr>
        <w:t>מוצע לקבוע כי ביצוע הפעולה יתועד בכתב, באופן שייקבע בכללים.</w:t>
      </w:r>
    </w:p>
    <w:p w14:paraId="025ACDA9" w14:textId="77777777" w:rsidR="00E51F8A" w:rsidRDefault="00E51F8A" w:rsidP="00E51F8A">
      <w:pPr>
        <w:pStyle w:val="Hesber1st"/>
        <w:rPr>
          <w:rtl/>
        </w:rPr>
      </w:pPr>
    </w:p>
    <w:p w14:paraId="709071EE" w14:textId="77777777" w:rsidR="00E51F8A" w:rsidRDefault="00E51F8A" w:rsidP="00E51F8A">
      <w:pPr>
        <w:pStyle w:val="Hesber1st"/>
        <w:rPr>
          <w:rtl/>
        </w:rPr>
      </w:pPr>
      <w:r>
        <w:rPr>
          <w:rFonts w:hint="cs"/>
          <w:rtl/>
        </w:rPr>
        <w:t>ב</w:t>
      </w:r>
      <w:r>
        <w:rPr>
          <w:rtl/>
        </w:rPr>
        <w:t>פסקה (ו) בסעיף 10א המוצע</w:t>
      </w:r>
      <w:r>
        <w:rPr>
          <w:rFonts w:hint="cs"/>
          <w:rtl/>
        </w:rPr>
        <w:t xml:space="preserve">, </w:t>
      </w:r>
      <w:r>
        <w:rPr>
          <w:rtl/>
        </w:rPr>
        <w:t xml:space="preserve">מוצע לקבוע חובת דיווח על שימוש בסמכות זו ליועץ המשפטי לממשלה, אחת ל-30 ימים ולוועדת הכנסת לענייני שירות – אחת לשנה, בדומה לחובות הדיווח הקיימות על פי סעיף 10 לחוק, בהתאם לפירוט בחוק. </w:t>
      </w:r>
    </w:p>
    <w:p w14:paraId="706FB7BD" w14:textId="77777777" w:rsidR="00E51F8A" w:rsidRDefault="00E51F8A" w:rsidP="00E51F8A">
      <w:pPr>
        <w:pStyle w:val="Hesber1st"/>
        <w:rPr>
          <w:rtl/>
        </w:rPr>
      </w:pPr>
    </w:p>
    <w:p w14:paraId="08E8BD62" w14:textId="77777777" w:rsidR="00E51F8A" w:rsidRPr="00331D49" w:rsidRDefault="00E51F8A" w:rsidP="00E51F8A">
      <w:pPr>
        <w:pStyle w:val="Hesber1st"/>
        <w:rPr>
          <w:rtl/>
        </w:rPr>
      </w:pPr>
      <w:r>
        <w:rPr>
          <w:rFonts w:hint="cs"/>
          <w:rtl/>
        </w:rPr>
        <w:t>ב</w:t>
      </w:r>
      <w:r>
        <w:rPr>
          <w:rtl/>
        </w:rPr>
        <w:t>פסקה (ז) בסעיף 10א המוצע</w:t>
      </w:r>
      <w:r>
        <w:rPr>
          <w:rFonts w:hint="cs"/>
          <w:rtl/>
        </w:rPr>
        <w:t xml:space="preserve"> </w:t>
      </w:r>
      <w:r>
        <w:rPr>
          <w:rtl/>
        </w:rPr>
        <w:t xml:space="preserve">מוצע לקבוע בחוק את הגדרת "פעולה בחומר מחשב", כשזו כוללת </w:t>
      </w:r>
      <w:r>
        <w:rPr>
          <w:rFonts w:hint="cs"/>
          <w:rtl/>
        </w:rPr>
        <w:t xml:space="preserve">פעולות של חדירה לחומר מחשב ושיבוש פעולה של מחשב או הפרעה לשימוש בו. יובהר, כי חדירה לחומר מחשב לא תכלול פעולות של </w:t>
      </w:r>
      <w:r w:rsidRPr="00331D49">
        <w:rPr>
          <w:rFonts w:hint="cs"/>
          <w:rtl/>
        </w:rPr>
        <w:t>העתקה, עיון והפקה ע</w:t>
      </w:r>
      <w:r>
        <w:rPr>
          <w:rFonts w:hint="cs"/>
          <w:rtl/>
        </w:rPr>
        <w:t>ל-ידי</w:t>
      </w:r>
      <w:r w:rsidRPr="00331D49">
        <w:rPr>
          <w:rFonts w:hint="cs"/>
          <w:rtl/>
        </w:rPr>
        <w:t xml:space="preserve"> עובד שירות</w:t>
      </w:r>
      <w:r>
        <w:rPr>
          <w:rFonts w:hint="cs"/>
          <w:rtl/>
        </w:rPr>
        <w:t xml:space="preserve">, המוסדרות בסעיף 10 לחוק זה. עוד יובהר, כי הן חדירה </w:t>
      </w:r>
      <w:r w:rsidRPr="002F5F4A">
        <w:rPr>
          <w:rFonts w:hint="cs"/>
          <w:rtl/>
        </w:rPr>
        <w:t xml:space="preserve">לחומר מחשב והן פעולה בחומר מחשב כוללות </w:t>
      </w:r>
      <w:r w:rsidRPr="002F5F4A">
        <w:rPr>
          <w:rtl/>
        </w:rPr>
        <w:t xml:space="preserve">גם </w:t>
      </w:r>
      <w:r w:rsidRPr="002F5F4A">
        <w:rPr>
          <w:rFonts w:hint="cs"/>
          <w:rtl/>
        </w:rPr>
        <w:t xml:space="preserve">את </w:t>
      </w:r>
      <w:r w:rsidRPr="002F5F4A">
        <w:rPr>
          <w:rtl/>
        </w:rPr>
        <w:t xml:space="preserve">סמכויות </w:t>
      </w:r>
      <w:r w:rsidRPr="002F5F4A">
        <w:rPr>
          <w:rFonts w:hint="cs"/>
          <w:rtl/>
        </w:rPr>
        <w:t>ה</w:t>
      </w:r>
      <w:r w:rsidRPr="002F5F4A">
        <w:rPr>
          <w:rtl/>
        </w:rPr>
        <w:t xml:space="preserve">עזר הנדרשות לשם ביצוע </w:t>
      </w:r>
      <w:r w:rsidRPr="002F5F4A">
        <w:rPr>
          <w:rFonts w:hint="cs"/>
          <w:rtl/>
        </w:rPr>
        <w:t>הפעולה</w:t>
      </w:r>
      <w:r w:rsidRPr="002F5F4A">
        <w:rPr>
          <w:rtl/>
        </w:rPr>
        <w:t xml:space="preserve"> לרבות</w:t>
      </w:r>
      <w:r w:rsidRPr="002F5F4A">
        <w:rPr>
          <w:rFonts w:hint="cs"/>
          <w:rtl/>
        </w:rPr>
        <w:t xml:space="preserve"> חדירה למחשב</w:t>
      </w:r>
      <w:r>
        <w:rPr>
          <w:rFonts w:hint="cs"/>
          <w:rtl/>
        </w:rPr>
        <w:t xml:space="preserve"> לשם</w:t>
      </w:r>
      <w:r>
        <w:rPr>
          <w:rtl/>
        </w:rPr>
        <w:t xml:space="preserve"> התקנה והסרה של </w:t>
      </w:r>
      <w:r>
        <w:rPr>
          <w:rFonts w:hint="cs"/>
          <w:rtl/>
        </w:rPr>
        <w:t>ה</w:t>
      </w:r>
      <w:r>
        <w:rPr>
          <w:rtl/>
        </w:rPr>
        <w:t>אמצעי</w:t>
      </w:r>
      <w:r>
        <w:rPr>
          <w:rFonts w:hint="cs"/>
          <w:rtl/>
        </w:rPr>
        <w:t xml:space="preserve"> לביצוע הפעולות האמורות. </w:t>
      </w:r>
    </w:p>
    <w:p w14:paraId="63B6057B" w14:textId="77777777" w:rsidR="00E51F8A" w:rsidRDefault="00E51F8A" w:rsidP="00E51F8A">
      <w:pPr>
        <w:pStyle w:val="Hesber1st"/>
        <w:rPr>
          <w:rtl/>
        </w:rPr>
      </w:pPr>
    </w:p>
    <w:p w14:paraId="58FD3851" w14:textId="77777777" w:rsidR="00E51F8A" w:rsidRPr="000E186E" w:rsidRDefault="00E51F8A" w:rsidP="00E51F8A">
      <w:pPr>
        <w:pStyle w:val="Hesber1st"/>
        <w:rPr>
          <w:rtl/>
        </w:rPr>
      </w:pPr>
      <w:r>
        <w:rPr>
          <w:rFonts w:hint="cs"/>
          <w:rtl/>
        </w:rPr>
        <w:t xml:space="preserve">בפסקה (ח) בסעיף 10א המוצע, מוצע </w:t>
      </w:r>
      <w:r w:rsidRPr="000E186E">
        <w:rPr>
          <w:rtl/>
        </w:rPr>
        <w:t xml:space="preserve">לקבוע כי ככל שאגב ביצוע </w:t>
      </w:r>
      <w:r>
        <w:rPr>
          <w:rFonts w:hint="cs"/>
          <w:rtl/>
        </w:rPr>
        <w:t xml:space="preserve">פעולה בחומר מחשב </w:t>
      </w:r>
      <w:r w:rsidRPr="000E186E">
        <w:rPr>
          <w:rtl/>
        </w:rPr>
        <w:t>יתקבל מידע מתקשורת בין מחשבים, קבלת המידע האמור לא תיחשב להאזנת סתר, לפי חוק האזנת סתר.</w:t>
      </w:r>
    </w:p>
    <w:p w14:paraId="05666634" w14:textId="77777777" w:rsidR="00E51F8A" w:rsidRDefault="00E51F8A" w:rsidP="00E51F8A">
      <w:pPr>
        <w:pStyle w:val="Hesber1st"/>
        <w:rPr>
          <w:rtl/>
        </w:rPr>
      </w:pPr>
    </w:p>
    <w:p w14:paraId="446B8626" w14:textId="77777777" w:rsidR="00E51F8A" w:rsidRDefault="00E51F8A" w:rsidP="00E51F8A">
      <w:pPr>
        <w:pStyle w:val="Hesber1st"/>
        <w:rPr>
          <w:rtl/>
        </w:rPr>
      </w:pPr>
      <w:r w:rsidRPr="003D5412">
        <w:rPr>
          <w:b/>
          <w:bCs/>
          <w:rtl/>
        </w:rPr>
        <w:t xml:space="preserve">סעיף </w:t>
      </w:r>
      <w:r>
        <w:rPr>
          <w:rFonts w:hint="cs"/>
          <w:b/>
          <w:bCs/>
          <w:rtl/>
        </w:rPr>
        <w:t>9</w:t>
      </w:r>
      <w:r>
        <w:rPr>
          <w:rtl/>
        </w:rPr>
        <w:t xml:space="preserve"> </w:t>
      </w:r>
      <w:r>
        <w:rPr>
          <w:rtl/>
        </w:rPr>
        <w:tab/>
      </w:r>
    </w:p>
    <w:p w14:paraId="6C062E8D" w14:textId="77777777" w:rsidR="00E51F8A" w:rsidRDefault="00E51F8A" w:rsidP="00E51F8A">
      <w:pPr>
        <w:pStyle w:val="Hesber1st"/>
        <w:rPr>
          <w:rtl/>
        </w:rPr>
      </w:pPr>
      <w:r>
        <w:rPr>
          <w:rtl/>
        </w:rPr>
        <w:t xml:space="preserve">בשים לב להתפתחויות הטכנולוגיות בעולם התקשורת מאז חקיקת החוק וסעיף 11 בפרט, מוצע לעדכן את הוראות החוק </w:t>
      </w:r>
      <w:r>
        <w:rPr>
          <w:rFonts w:hint="cs"/>
          <w:rtl/>
        </w:rPr>
        <w:t xml:space="preserve">ולהתאימן </w:t>
      </w:r>
      <w:r>
        <w:rPr>
          <w:rtl/>
        </w:rPr>
        <w:t>למציאות הטכנולוגית ה</w:t>
      </w:r>
      <w:r>
        <w:rPr>
          <w:rFonts w:hint="cs"/>
          <w:rtl/>
        </w:rPr>
        <w:t>נוכחית</w:t>
      </w:r>
      <w:r>
        <w:rPr>
          <w:rtl/>
        </w:rPr>
        <w:t xml:space="preserve"> באופן שי</w:t>
      </w:r>
      <w:r>
        <w:rPr>
          <w:rFonts w:hint="cs"/>
          <w:rtl/>
        </w:rPr>
        <w:t xml:space="preserve">הלום את </w:t>
      </w:r>
      <w:r>
        <w:rPr>
          <w:rtl/>
        </w:rPr>
        <w:t xml:space="preserve">צרכי השירות בעת הזו, וכן לעגן בסעיף הוראות שונות שעניינן הבניית שיקול-הדעת בהפעלת הסמכות לפי הסעיף והגברת הפיקוח והבקרה על השירות בפעילותו לפי הסעיף.    </w:t>
      </w:r>
    </w:p>
    <w:p w14:paraId="4434D3C1" w14:textId="77777777" w:rsidR="00E51F8A" w:rsidRDefault="00E51F8A" w:rsidP="00E51F8A">
      <w:pPr>
        <w:pStyle w:val="Hesber1st"/>
        <w:rPr>
          <w:rtl/>
        </w:rPr>
      </w:pPr>
      <w:r>
        <w:rPr>
          <w:rFonts w:hint="cs"/>
          <w:rtl/>
        </w:rPr>
        <w:t>ביחס ל</w:t>
      </w:r>
      <w:r>
        <w:rPr>
          <w:rtl/>
        </w:rPr>
        <w:t>פסקה (א) בסעיף 11</w:t>
      </w:r>
      <w:r>
        <w:rPr>
          <w:rFonts w:hint="cs"/>
          <w:rtl/>
        </w:rPr>
        <w:t>, ס</w:t>
      </w:r>
      <w:r>
        <w:rPr>
          <w:rtl/>
        </w:rPr>
        <w:t>עיף 11</w:t>
      </w:r>
      <w:r>
        <w:rPr>
          <w:rFonts w:hint="cs"/>
          <w:rtl/>
        </w:rPr>
        <w:t>(א)</w:t>
      </w:r>
      <w:r>
        <w:rPr>
          <w:rtl/>
        </w:rPr>
        <w:t xml:space="preserve"> בנוסחו </w:t>
      </w:r>
      <w:proofErr w:type="spellStart"/>
      <w:r>
        <w:rPr>
          <w:rtl/>
        </w:rPr>
        <w:t>דהיום</w:t>
      </w:r>
      <w:proofErr w:type="spellEnd"/>
      <w:r>
        <w:rPr>
          <w:rtl/>
        </w:rPr>
        <w:t xml:space="preserve"> מגדיר</w:t>
      </w:r>
      <w:r>
        <w:rPr>
          <w:rFonts w:hint="cs"/>
          <w:rtl/>
        </w:rPr>
        <w:t xml:space="preserve"> </w:t>
      </w:r>
      <w:r>
        <w:rPr>
          <w:rtl/>
        </w:rPr>
        <w:t xml:space="preserve">"מידע" לעניין סעיף זה כ"לרבות נתוני תקשורת ולמעט תוכן שיחה כמשמעותו בחוק האזנת סתר, התשל"ט-1979". מוצעים מספר תיקונים בהגדרה זו. ראשית, מוצע להשמיט את התיבה "לרבות", וזאת על מנת לתחום את סוגי המידע שניתן יהיה </w:t>
      </w:r>
      <w:r>
        <w:rPr>
          <w:rtl/>
        </w:rPr>
        <w:lastRenderedPageBreak/>
        <w:t>לקבוע בכללים מסווגים, לפי סעיף קטן (ב), לכדי רשימת קטגוריות ממצה, בשים לב להשלכתה של רשימת קטגוריות זו על היקף סמכותו של השירות, על הפגיעה הטמונה בה בזכויות ובאופן שעולה בקנה אחד עם הצורך בהסדרה מפורשת של סמכות זו. שנית, מאותו הטעם, מוצע להבהיר כי מידע כולל גם נתונים טכניים שנוגעים לאופן שבו מערכות התקשורת מופעלות על-ידי חברות התקשורת. שלישית, לנוכח השינויים שחלו בעולם התקשורת בעשורים האחרונים ובפרט שינויים במאפייני השימוש באמצעי תקשורת שונים והרחבת ההתבססות על תקשורת במרחב האינטרנט, מוצע להבהיר במפורש כי נתוני תקשורת</w:t>
      </w:r>
      <w:r>
        <w:rPr>
          <w:rFonts w:hint="cs"/>
          <w:rtl/>
        </w:rPr>
        <w:t xml:space="preserve"> </w:t>
      </w:r>
      <w:r>
        <w:rPr>
          <w:rtl/>
        </w:rPr>
        <w:t xml:space="preserve">כוללים גם נתונים כאמור מרשת האינטרנט, ובלבד שלא מדובר במידע העולה כדי "תוכן שיחה", כהגדרתה בחוק האזנת סתר. לבסוף, מוצע כי ההגדרה תחול על נתונים נוספים מרשת האינטרנט שאינם בגדר נתוני תקשורת, המעידים על יעדי השימוש ברשת, אך אינם עולים כדי תוכן שיחה בין אנשים. </w:t>
      </w:r>
    </w:p>
    <w:p w14:paraId="39AC68C2" w14:textId="77777777" w:rsidR="00E51F8A" w:rsidRDefault="00E51F8A" w:rsidP="00E51F8A">
      <w:pPr>
        <w:pStyle w:val="Hesber1st"/>
        <w:rPr>
          <w:rtl/>
        </w:rPr>
      </w:pPr>
    </w:p>
    <w:p w14:paraId="263BA58E" w14:textId="77777777" w:rsidR="00E51F8A" w:rsidRDefault="00E51F8A" w:rsidP="00E51F8A">
      <w:pPr>
        <w:pStyle w:val="Hesber1st"/>
        <w:rPr>
          <w:rtl/>
        </w:rPr>
      </w:pPr>
      <w:r>
        <w:rPr>
          <w:rFonts w:hint="cs"/>
          <w:rtl/>
        </w:rPr>
        <w:t>ביחס ל</w:t>
      </w:r>
      <w:r>
        <w:rPr>
          <w:rtl/>
        </w:rPr>
        <w:t>פסקה (ב) בסעיף 11</w:t>
      </w:r>
      <w:r>
        <w:rPr>
          <w:rFonts w:hint="cs"/>
          <w:rtl/>
        </w:rPr>
        <w:t>, ס</w:t>
      </w:r>
      <w:r>
        <w:rPr>
          <w:rtl/>
        </w:rPr>
        <w:t>עיף 11</w:t>
      </w:r>
      <w:r>
        <w:rPr>
          <w:rFonts w:hint="cs"/>
          <w:rtl/>
        </w:rPr>
        <w:t>(ב)</w:t>
      </w:r>
      <w:r>
        <w:rPr>
          <w:rtl/>
        </w:rPr>
        <w:t xml:space="preserve"> בנוסח</w:t>
      </w:r>
      <w:r>
        <w:rPr>
          <w:rFonts w:hint="cs"/>
          <w:rtl/>
        </w:rPr>
        <w:t>ו</w:t>
      </w:r>
      <w:r>
        <w:rPr>
          <w:rtl/>
        </w:rPr>
        <w:t xml:space="preserve"> </w:t>
      </w:r>
      <w:proofErr w:type="spellStart"/>
      <w:r>
        <w:rPr>
          <w:rtl/>
        </w:rPr>
        <w:t>דהיום</w:t>
      </w:r>
      <w:proofErr w:type="spellEnd"/>
      <w:r>
        <w:rPr>
          <w:rtl/>
        </w:rPr>
        <w:t xml:space="preserve"> קובע</w:t>
      </w:r>
      <w:r>
        <w:rPr>
          <w:rFonts w:hint="cs"/>
          <w:rtl/>
        </w:rPr>
        <w:t xml:space="preserve"> </w:t>
      </w:r>
      <w:r>
        <w:rPr>
          <w:rtl/>
        </w:rPr>
        <w:t xml:space="preserve">כי "ראש הממשלה רשאי לקבוע בכללים כי סוגי מידע המצויים במאגרי מידע של ספק מורשה, שיפורטו בכללים, דרושים לשירות לצורכי מילוי תפקידיו לפי חוק זה, וכי על בעל הרישיון להעביר מידע מסוגים אלה לידי השירות". מוצע להבהיר מפורשות כי בטרם שראש הממשלה קובע את סוגי המידע </w:t>
      </w:r>
      <w:r>
        <w:rPr>
          <w:rFonts w:hint="cs"/>
          <w:rtl/>
        </w:rPr>
        <w:t>א</w:t>
      </w:r>
      <w:r>
        <w:rPr>
          <w:rtl/>
        </w:rPr>
        <w:t xml:space="preserve">ותם יוכל השירות לדרוש, </w:t>
      </w:r>
      <w:r>
        <w:rPr>
          <w:rFonts w:hint="cs"/>
          <w:rtl/>
        </w:rPr>
        <w:t xml:space="preserve">כאמור, </w:t>
      </w:r>
      <w:r>
        <w:rPr>
          <w:rtl/>
        </w:rPr>
        <w:t>יהיה עליו לבחון את הפגיעה בפרטיות הכרוכה בקבלת מידע זה על-ידי השירות ולהשתכנע שהתועלת שתופק מסוגי המידע כאמור, לצורך מילוי תפקידי השירות, עולה על מידת הפגיעה בפרטיות. עוד מוצע לקבוע, כי ראש השירות יוכל לקבוע כאמור, ביחס לסוגי המידע המצויים בידי ספק מורשה, גם אם אינם מוחזקים במאגר. ביחס לנתוני השימוש באינטרנט, בשל רגישותם של נתונים אלו והפגיעה הנוספת בפרטיות הכרוכה בקבלתם על-ידי השירות ובשימוש בהם, מוצע לקבוע כי ראש הממשלה יוכל לאשר לשירות לקבלם רק לצרכים של סיכול טרור או ריגול כאמור בסעיף 7(ב)(1) לחוק השב"כ או לצורך אבטחת אישים כאמור בסעיף 7(ב)(2) לחוק.</w:t>
      </w:r>
    </w:p>
    <w:p w14:paraId="594B1293" w14:textId="77777777" w:rsidR="00E51F8A" w:rsidRDefault="00E51F8A" w:rsidP="00E51F8A">
      <w:pPr>
        <w:pStyle w:val="Hesber1st"/>
        <w:rPr>
          <w:rtl/>
        </w:rPr>
      </w:pPr>
    </w:p>
    <w:p w14:paraId="30147103" w14:textId="77777777" w:rsidR="00E51F8A" w:rsidRDefault="00E51F8A" w:rsidP="00E51F8A">
      <w:pPr>
        <w:pStyle w:val="Hesber1st"/>
        <w:rPr>
          <w:rtl/>
        </w:rPr>
      </w:pPr>
      <w:r>
        <w:rPr>
          <w:rFonts w:hint="cs"/>
          <w:rtl/>
        </w:rPr>
        <w:t>ב</w:t>
      </w:r>
      <w:r>
        <w:rPr>
          <w:rtl/>
        </w:rPr>
        <w:t>פסקה (ב1) בסעיף 11</w:t>
      </w:r>
      <w:r>
        <w:rPr>
          <w:rFonts w:hint="cs"/>
          <w:rtl/>
        </w:rPr>
        <w:t xml:space="preserve">, </w:t>
      </w:r>
      <w:r>
        <w:rPr>
          <w:rtl/>
        </w:rPr>
        <w:t>מוצע לקבוע כי דרישת מידע מהסוגים שאושרו על-ידי ראש הממשלה בכללים מכוח סעיף זה מספקים מורשים תעשה בדרך של מתן הוראה של ראש השירות, וזאת לאחר ששקל את מידת הפגיעה בפרטיות הכרוכה במסירת המידע לשירות ובשימוש בו מצדו ואת הפגיעה הפוטנציאלית בספק המורשה כתוצאה מכך, וקבע כי התועלת מהעברת המידע לידי השירות עולה על הפגיעות האמורות. עוד מוצע לקבוע, כי לצורך חיזוק הפיקוח והבקרה על השירות, יידרש ראש השירות לדווח, תוך 72 שעות לכל היותר, לראש הממשלה וליועץ המשפטי לממשלה, על כל הוראה שמסר לספק מורשה כאמור. כמו כן, ראש הממשלה יוכל לבטל הוראה כאמור, או לסייגה. עוד מוצע, להגביל את משך תוקפה של הוראת ראש השירות לספק מורשה לחמש שנים לכל היותר</w:t>
      </w:r>
      <w:r>
        <w:rPr>
          <w:rFonts w:hint="cs"/>
          <w:rtl/>
        </w:rPr>
        <w:t>.</w:t>
      </w:r>
      <w:r>
        <w:rPr>
          <w:rtl/>
        </w:rPr>
        <w:t xml:space="preserve"> אולם, ראש השירות יהא רשאי לשוב ולחדשה לתקופות נוספות אם שוכנע כי הנימוקים לתתה עודם מתקיים, וזאת באופן שיחייב בחינה עיתית מצדו של האיזון בין הזכויות והאינטרסים הכרוכים בדבר. לבסוף, מוצע לקבוע כי הוראה מכוח סעיף זה ומידע הנוגע אליה יהיו חסויים ואסורים בפרסום וזאת על מנת למנוע חשיפת שיטות פעולה ויכולות של השירות.</w:t>
      </w:r>
    </w:p>
    <w:p w14:paraId="1B40513D" w14:textId="77777777" w:rsidR="00E51F8A" w:rsidRDefault="00E51F8A" w:rsidP="00E51F8A">
      <w:pPr>
        <w:pStyle w:val="Hesber1st"/>
        <w:rPr>
          <w:rtl/>
        </w:rPr>
      </w:pPr>
    </w:p>
    <w:p w14:paraId="0D796023" w14:textId="77777777" w:rsidR="00E51F8A" w:rsidRDefault="00E51F8A" w:rsidP="00E51F8A">
      <w:pPr>
        <w:pStyle w:val="Hesber1st"/>
        <w:rPr>
          <w:rtl/>
        </w:rPr>
      </w:pPr>
      <w:r>
        <w:rPr>
          <w:rFonts w:hint="cs"/>
          <w:rtl/>
        </w:rPr>
        <w:t xml:space="preserve">בפסקה (ב2) המוצעת בסעיף 11, מוצע לקבוע כי על מנת לאפשר לשירות להיות נגיש לסוגי המידע אותם הוא רשאי לקבל מכוח סעיף 11, השירות יהיה רשאי לבצע גם פעולות הנלוות לאלו המבוצעות מכוח סעיף </w:t>
      </w:r>
      <w:r>
        <w:rPr>
          <w:rFonts w:hint="cs"/>
          <w:rtl/>
        </w:rPr>
        <w:lastRenderedPageBreak/>
        <w:t>11, ובלבד שלא היה יכול לקבל או לעשות שימוש בסוגי המידע האמורים ללא הפעולות הנלוות. עוד מוצע לקבוע שלא יעשה שימוש במידע נוסף שאינו חיוני לשם קבלת סוגי המידע אותם רשאי השירות לקבל מכוח הסעיף. יובהר, כי השימוש במידע נוסף שהינו חיוני לשם קבלת סוגי המידע יעשה בהיקף המינימלי הנדרש.</w:t>
      </w:r>
    </w:p>
    <w:p w14:paraId="0469E36E" w14:textId="77777777" w:rsidR="00E51F8A" w:rsidRDefault="00E51F8A" w:rsidP="00E51F8A">
      <w:pPr>
        <w:pStyle w:val="Hesber1st"/>
        <w:rPr>
          <w:rtl/>
        </w:rPr>
      </w:pPr>
    </w:p>
    <w:p w14:paraId="6D4695BA" w14:textId="77777777" w:rsidR="00E51F8A" w:rsidRDefault="00E51F8A" w:rsidP="00E51F8A">
      <w:pPr>
        <w:pStyle w:val="Hesber1st"/>
        <w:rPr>
          <w:rtl/>
        </w:rPr>
      </w:pPr>
      <w:r>
        <w:rPr>
          <w:rtl/>
        </w:rPr>
        <w:t>על יסוד נוסח סעיף קטן (ג) הקיים, מוצע להבהיר</w:t>
      </w:r>
      <w:r>
        <w:rPr>
          <w:rFonts w:hint="cs"/>
          <w:rtl/>
        </w:rPr>
        <w:t xml:space="preserve"> בפסקה (ג)</w:t>
      </w:r>
      <w:r>
        <w:rPr>
          <w:rtl/>
        </w:rPr>
        <w:t xml:space="preserve"> כי השימוש במידע על-ידי בעלי תפקידים בשירות יחייב הסמכה לעניין מאת ראש השירות, לאחר ששוכנע כי הדבר דרוש לצורך מילוי התפקיד. הסמכה כאמור תהיה תקפה למשך תקופת התפקיד של הגורם המוסמך אך לא תעלה על 12 חודשים, אולם רשאי ראש השירות לשוב ולחדשה. </w:t>
      </w:r>
    </w:p>
    <w:p w14:paraId="47EAE533" w14:textId="77777777" w:rsidR="00E51F8A" w:rsidRDefault="00E51F8A" w:rsidP="00E51F8A">
      <w:pPr>
        <w:pStyle w:val="Hesber1st"/>
        <w:rPr>
          <w:rtl/>
        </w:rPr>
      </w:pPr>
    </w:p>
    <w:p w14:paraId="1967AD45" w14:textId="77777777" w:rsidR="00E51F8A" w:rsidRDefault="00E51F8A" w:rsidP="00E51F8A">
      <w:pPr>
        <w:pStyle w:val="Hesber1st"/>
        <w:rPr>
          <w:rtl/>
        </w:rPr>
      </w:pPr>
      <w:r>
        <w:rPr>
          <w:rFonts w:hint="cs"/>
          <w:rtl/>
        </w:rPr>
        <w:t>ב</w:t>
      </w:r>
      <w:r>
        <w:rPr>
          <w:rtl/>
        </w:rPr>
        <w:t>פסק</w:t>
      </w:r>
      <w:r>
        <w:rPr>
          <w:rFonts w:hint="cs"/>
          <w:rtl/>
        </w:rPr>
        <w:t xml:space="preserve">ה </w:t>
      </w:r>
      <w:r>
        <w:rPr>
          <w:rtl/>
        </w:rPr>
        <w:t>(ג1) לסעיף 11</w:t>
      </w:r>
      <w:r>
        <w:rPr>
          <w:rFonts w:hint="cs"/>
          <w:rtl/>
        </w:rPr>
        <w:t xml:space="preserve"> </w:t>
      </w:r>
      <w:r>
        <w:rPr>
          <w:rtl/>
        </w:rPr>
        <w:t xml:space="preserve">מוצע </w:t>
      </w:r>
      <w:r>
        <w:rPr>
          <w:rFonts w:hint="cs"/>
          <w:rtl/>
        </w:rPr>
        <w:t xml:space="preserve">לקבוע </w:t>
      </w:r>
      <w:r>
        <w:rPr>
          <w:rtl/>
        </w:rPr>
        <w:t>הוראה מפורשת לפיה השימוש במידע שהתקבל לפי סעיף (ב</w:t>
      </w:r>
      <w:r>
        <w:rPr>
          <w:rFonts w:hint="cs"/>
          <w:rtl/>
        </w:rPr>
        <w:t>1</w:t>
      </w:r>
      <w:r>
        <w:rPr>
          <w:rtl/>
        </w:rPr>
        <w:t>) על-ידי השירות יעשה באופן שיצמצם את מידת הפגיעה בפרטיות, ויחייב קביעה של הוראות קונקרטיות בנושא זה בכללים. זאת, בין היתר, לעניין אופן עיבוד המידע, אופן אגירת המידע, ומתן הרשאות לבעלי תפקידים בשירות לגישה למידע ולשימוש בו. בשל הרגישות הכרוכה במידע כאמור ביחס לבעלי חסיונות והפוטנציאל לפגיעה בחסיון, יידרש השירות להשתמש במידע באופן שיצמצם את הפגיעה האמורה למינימום הנדרש לצורך מילוי תפקידיו. בנוסף, ביחס לנתוני שימוש באינטרנט, מוצע לקבוע באופן ספציפי כי הכללים יכללו התייחסות גם לאופן שבו יתאפשר לעבד נתונים אלה על-ידי בעלי תפקידים בשירות באופן שאינו ממוכן.</w:t>
      </w:r>
    </w:p>
    <w:p w14:paraId="396EFE71" w14:textId="77777777" w:rsidR="00E51F8A" w:rsidRDefault="00E51F8A" w:rsidP="00E51F8A">
      <w:pPr>
        <w:pStyle w:val="Hesber1st"/>
        <w:rPr>
          <w:rtl/>
        </w:rPr>
      </w:pPr>
    </w:p>
    <w:p w14:paraId="72240EBD" w14:textId="77777777" w:rsidR="00E51F8A" w:rsidRDefault="00E51F8A" w:rsidP="00E51F8A">
      <w:pPr>
        <w:pStyle w:val="Hesber1st"/>
        <w:rPr>
          <w:rtl/>
        </w:rPr>
      </w:pPr>
      <w:r>
        <w:rPr>
          <w:rFonts w:hint="cs"/>
          <w:rtl/>
        </w:rPr>
        <w:t>ב</w:t>
      </w:r>
      <w:r>
        <w:rPr>
          <w:rtl/>
        </w:rPr>
        <w:t>פסקה (ד) לסעיף 11</w:t>
      </w:r>
      <w:r>
        <w:rPr>
          <w:rFonts w:hint="cs"/>
          <w:rtl/>
        </w:rPr>
        <w:t xml:space="preserve">, </w:t>
      </w:r>
      <w:r>
        <w:rPr>
          <w:rtl/>
        </w:rPr>
        <w:t xml:space="preserve">מוצע לעגן באופן מפורש ומפורט את הנושאים שיידרשו להיכלל בדיווח העיתי הקבוע כיום בסעיף 11. כך, בין היתר, יידרש השירות לדווח על הוראות שנמסרו לספקים מורשים, סוגי המידע שהתקבלו, תכליות השימוש במידע, אופן השימוש במידע, אירועים חריגים שהתרחשו במסגרת השימוש במידע </w:t>
      </w:r>
      <w:proofErr w:type="spellStart"/>
      <w:r>
        <w:rPr>
          <w:rtl/>
        </w:rPr>
        <w:t>וכיוצ"ב</w:t>
      </w:r>
      <w:proofErr w:type="spellEnd"/>
      <w:r>
        <w:rPr>
          <w:rtl/>
        </w:rPr>
        <w:t xml:space="preserve">. </w:t>
      </w:r>
    </w:p>
    <w:p w14:paraId="6C5652C2" w14:textId="77777777" w:rsidR="00E51F8A" w:rsidRDefault="00E51F8A" w:rsidP="00E51F8A">
      <w:pPr>
        <w:pStyle w:val="Hesber1st"/>
        <w:rPr>
          <w:rtl/>
        </w:rPr>
      </w:pPr>
    </w:p>
    <w:p w14:paraId="46B1BE1C" w14:textId="77777777" w:rsidR="00E51F8A" w:rsidRDefault="00E51F8A" w:rsidP="00E51F8A">
      <w:pPr>
        <w:pStyle w:val="Hesber1st"/>
        <w:rPr>
          <w:rtl/>
        </w:rPr>
      </w:pPr>
      <w:r>
        <w:rPr>
          <w:rFonts w:hint="cs"/>
          <w:rtl/>
        </w:rPr>
        <w:t>ב</w:t>
      </w:r>
      <w:r>
        <w:rPr>
          <w:rtl/>
        </w:rPr>
        <w:t>פסקה (ה) לסעיף 11</w:t>
      </w:r>
      <w:r>
        <w:rPr>
          <w:rFonts w:hint="cs"/>
          <w:rtl/>
        </w:rPr>
        <w:t xml:space="preserve">, </w:t>
      </w:r>
      <w:r>
        <w:rPr>
          <w:rtl/>
        </w:rPr>
        <w:t>מוצע להעביר את פסקה (ו) בחוק הנוכחי לפסקה (ה) בסעיף 11, לפיה במילוי הוראות לפי סעיף זה יחולו הוראות סעיף 13(ה) לחוק התקשורת.</w:t>
      </w:r>
    </w:p>
    <w:p w14:paraId="2BD705B9" w14:textId="77777777" w:rsidR="00E51F8A" w:rsidRDefault="00E51F8A" w:rsidP="00E51F8A">
      <w:pPr>
        <w:pStyle w:val="Hesber1st"/>
        <w:rPr>
          <w:rtl/>
        </w:rPr>
      </w:pPr>
    </w:p>
    <w:p w14:paraId="730363F8" w14:textId="77777777" w:rsidR="00E51F8A" w:rsidRDefault="00E51F8A" w:rsidP="00E51F8A">
      <w:pPr>
        <w:pStyle w:val="Hesber1st"/>
        <w:rPr>
          <w:rtl/>
        </w:rPr>
      </w:pPr>
      <w:r>
        <w:rPr>
          <w:rFonts w:hint="cs"/>
          <w:rtl/>
        </w:rPr>
        <w:t>ב</w:t>
      </w:r>
      <w:r>
        <w:rPr>
          <w:rtl/>
        </w:rPr>
        <w:t>פסקה (ו) לסעיף 11</w:t>
      </w:r>
      <w:r>
        <w:rPr>
          <w:rFonts w:hint="cs"/>
          <w:rtl/>
        </w:rPr>
        <w:t xml:space="preserve">, </w:t>
      </w:r>
      <w:r>
        <w:rPr>
          <w:rtl/>
        </w:rPr>
        <w:t>מוצע להבהיר, למען הסר ספק, כי השירות יהיה רשאי לעשות שימוש במידע המתקבל לפי סעיף זה רק לצורך מילוי תפקידיו כקבוע בחוק השב"כ ובהתאם לתקנות ולכללים מכוח חוק זה.</w:t>
      </w:r>
    </w:p>
    <w:p w14:paraId="641F1229" w14:textId="77777777" w:rsidR="00E51F8A" w:rsidRDefault="00E51F8A" w:rsidP="00E51F8A">
      <w:pPr>
        <w:pStyle w:val="Hesber1st"/>
        <w:rPr>
          <w:rtl/>
        </w:rPr>
      </w:pPr>
    </w:p>
    <w:p w14:paraId="17088C7C" w14:textId="77777777" w:rsidR="00E51F8A" w:rsidRDefault="00E51F8A" w:rsidP="00E51F8A">
      <w:pPr>
        <w:pStyle w:val="Hesber1st"/>
        <w:rPr>
          <w:rtl/>
        </w:rPr>
      </w:pPr>
      <w:r>
        <w:rPr>
          <w:rFonts w:hint="cs"/>
          <w:rtl/>
        </w:rPr>
        <w:t>בפסקה</w:t>
      </w:r>
      <w:r w:rsidRPr="00862D2D">
        <w:rPr>
          <w:rtl/>
        </w:rPr>
        <w:t xml:space="preserve"> (ז) לסעיף 11 מוצע להבהיר, אף בשים לב ל</w:t>
      </w:r>
      <w:r w:rsidRPr="00862D2D">
        <w:rPr>
          <w:rFonts w:hint="cs"/>
          <w:rtl/>
        </w:rPr>
        <w:t>סמכויות השירות מכוח סעיפים 8 ו-</w:t>
      </w:r>
      <w:r w:rsidRPr="00862D2D">
        <w:rPr>
          <w:rtl/>
        </w:rPr>
        <w:t xml:space="preserve"> 8א לחוק, כי הסמכות המעוגנת בסעיף 11 אינה גורעת מסמכויותיו של השירות לקבל או לאסוף נתוני תקשורת מכוח הוראות דין אחרות.</w:t>
      </w:r>
      <w:r w:rsidRPr="00862D2D">
        <w:rPr>
          <w:rFonts w:hint="cs"/>
          <w:rtl/>
        </w:rPr>
        <w:t xml:space="preserve"> </w:t>
      </w:r>
    </w:p>
    <w:p w14:paraId="3E021F81" w14:textId="77777777" w:rsidR="00E51F8A" w:rsidRDefault="00E51F8A" w:rsidP="00E51F8A">
      <w:pPr>
        <w:pStyle w:val="Hesber1st"/>
        <w:rPr>
          <w:rtl/>
        </w:rPr>
      </w:pPr>
    </w:p>
    <w:p w14:paraId="727F6303" w14:textId="77777777" w:rsidR="00E51F8A" w:rsidRDefault="00E51F8A" w:rsidP="00E51F8A">
      <w:pPr>
        <w:pStyle w:val="Hesber1st"/>
        <w:rPr>
          <w:b/>
          <w:bCs/>
          <w:rtl/>
        </w:rPr>
      </w:pPr>
      <w:r>
        <w:rPr>
          <w:rFonts w:hint="cs"/>
          <w:b/>
          <w:bCs/>
          <w:rtl/>
        </w:rPr>
        <w:t>סעיף 10</w:t>
      </w:r>
    </w:p>
    <w:p w14:paraId="1C06716A" w14:textId="77777777" w:rsidR="00E51F8A" w:rsidRDefault="00E51F8A" w:rsidP="00E51F8A">
      <w:pPr>
        <w:pStyle w:val="Hesber1st"/>
        <w:rPr>
          <w:rtl/>
        </w:rPr>
      </w:pPr>
      <w:r w:rsidRPr="001D6032">
        <w:rPr>
          <w:rFonts w:hint="cs"/>
          <w:rtl/>
        </w:rPr>
        <w:t xml:space="preserve">מוצע להוסיף </w:t>
      </w:r>
      <w:r w:rsidRPr="006731FF">
        <w:rPr>
          <w:rFonts w:hint="cs"/>
          <w:rtl/>
        </w:rPr>
        <w:t xml:space="preserve">סעיף חדש </w:t>
      </w:r>
      <w:r w:rsidRPr="006731FF">
        <w:rPr>
          <w:rtl/>
        </w:rPr>
        <w:t>–</w:t>
      </w:r>
      <w:r w:rsidRPr="006731FF">
        <w:rPr>
          <w:rFonts w:hint="cs"/>
          <w:rtl/>
        </w:rPr>
        <w:t xml:space="preserve"> סעיף 11א במסגרתו רשאית ועדת השרים לענייני השירות, באישור ועדת הכנסת </w:t>
      </w:r>
      <w:r w:rsidRPr="006731FF">
        <w:rPr>
          <w:rFonts w:hint="cs"/>
          <w:rtl/>
        </w:rPr>
        <w:lastRenderedPageBreak/>
        <w:t>לענייני השירות, להקנות</w:t>
      </w:r>
      <w:r w:rsidRPr="00B8158E">
        <w:rPr>
          <w:rFonts w:hint="cs"/>
          <w:rtl/>
        </w:rPr>
        <w:t xml:space="preserve"> לשירות סמכות נוספת </w:t>
      </w:r>
      <w:r w:rsidRPr="009D6329">
        <w:rPr>
          <w:rFonts w:hint="cs"/>
          <w:rtl/>
        </w:rPr>
        <w:t xml:space="preserve">לעניין מידע או סוגי מידע שאינה נכללת בסמכויות הקבועות בסעיפים 11-8 לחוק. זאת, בהתעורר צורך חיוני </w:t>
      </w:r>
      <w:r w:rsidRPr="009D6329">
        <w:rPr>
          <w:rtl/>
        </w:rPr>
        <w:t xml:space="preserve">לשם מניעת עבירות בתחומים המפורטים בסעיפים 7(ב)(1), (2) או (6) לחוק, </w:t>
      </w:r>
      <w:r w:rsidRPr="009D6329">
        <w:rPr>
          <w:rFonts w:hint="cs"/>
          <w:rtl/>
        </w:rPr>
        <w:t xml:space="preserve">וככל שהשתכנעה ועדת השרים לענייני השירות כי התעוררו נסיבות חדשות המצדיקות זאת, כדוגמת שינוי במצב הביטחוני או שינוי ביכולות הטכנולוגיות, אשר לא ניתן היה להביאן בחשבון בעת תיקון החוק. והכל, ככל שבשל הצורך הדחוף בסמכויות אלו לא ניתן להמתין להסדרה בחקיקה ראשית של הקניית הסמכויות כאמור. </w:t>
      </w:r>
    </w:p>
    <w:p w14:paraId="3E39A4C8" w14:textId="77777777" w:rsidR="00E51F8A" w:rsidRDefault="00E51F8A" w:rsidP="00E51F8A">
      <w:pPr>
        <w:pStyle w:val="Hesber1st"/>
        <w:rPr>
          <w:rtl/>
        </w:rPr>
      </w:pPr>
      <w:r>
        <w:rPr>
          <w:rFonts w:hint="cs"/>
          <w:rtl/>
        </w:rPr>
        <w:t xml:space="preserve">בפסקה (א) לסעיף 11א המוצע, מוצע לקבוע כי סמכות זו תוגבל בזמן </w:t>
      </w:r>
      <w:r>
        <w:rPr>
          <w:rtl/>
        </w:rPr>
        <w:t>–</w:t>
      </w:r>
      <w:r>
        <w:rPr>
          <w:rFonts w:hint="cs"/>
          <w:rtl/>
        </w:rPr>
        <w:t xml:space="preserve"> למשך שנה או עד לעיגון הסמכות בחוק, לפי המוקדם ביניהם, אולם ועדת השרים לענייני שירות תוכל, באישור ועדת הכנסת לענייני שירות, להאריך את הקניית הסמכות בשנה נוספת.</w:t>
      </w:r>
    </w:p>
    <w:p w14:paraId="44736C1D" w14:textId="77777777" w:rsidR="00E51F8A" w:rsidRDefault="00E51F8A" w:rsidP="00E51F8A">
      <w:pPr>
        <w:pStyle w:val="Hesber1st"/>
        <w:rPr>
          <w:rtl/>
        </w:rPr>
      </w:pPr>
    </w:p>
    <w:p w14:paraId="1B077E1D" w14:textId="77777777" w:rsidR="00E51F8A" w:rsidRPr="009C7781" w:rsidRDefault="00E51F8A" w:rsidP="00E51F8A">
      <w:pPr>
        <w:pStyle w:val="Hesber1st"/>
        <w:rPr>
          <w:rtl/>
        </w:rPr>
      </w:pPr>
      <w:r>
        <w:rPr>
          <w:rFonts w:hint="cs"/>
          <w:rtl/>
        </w:rPr>
        <w:t xml:space="preserve">בפסקה (ב) לסעיף 11א המוצע, מוצע לקבוע כי </w:t>
      </w:r>
      <w:r w:rsidRPr="009C7781">
        <w:rPr>
          <w:rtl/>
        </w:rPr>
        <w:t xml:space="preserve">ראש השירות ימסור לראש הממשלה, ליועץ המשפטי לממשלה ולוועדת הכנסת לענייני השירות, דיווח עתי </w:t>
      </w:r>
      <w:r>
        <w:rPr>
          <w:rFonts w:hint="cs"/>
          <w:rtl/>
        </w:rPr>
        <w:t>אודות אופן הפעלת הסמכות, אחת לשישה חודשים</w:t>
      </w:r>
      <w:r w:rsidRPr="009C7781">
        <w:rPr>
          <w:rtl/>
        </w:rPr>
        <w:t xml:space="preserve">. דיווח זה יתייחס למידע </w:t>
      </w:r>
      <w:r>
        <w:rPr>
          <w:rFonts w:hint="cs"/>
          <w:rtl/>
        </w:rPr>
        <w:t>או לסוג המידע</w:t>
      </w:r>
      <w:r w:rsidRPr="009C7781">
        <w:rPr>
          <w:rtl/>
        </w:rPr>
        <w:t xml:space="preserve">, לשימוש שעשה השירות </w:t>
      </w:r>
      <w:r>
        <w:rPr>
          <w:rFonts w:hint="cs"/>
          <w:rtl/>
        </w:rPr>
        <w:t xml:space="preserve">בו לצורך מילוי תפקידו והערכה בדבר </w:t>
      </w:r>
      <w:r w:rsidRPr="009C7781">
        <w:rPr>
          <w:rtl/>
        </w:rPr>
        <w:t xml:space="preserve">מידת התועלת של </w:t>
      </w:r>
      <w:r>
        <w:rPr>
          <w:rFonts w:hint="cs"/>
          <w:rtl/>
        </w:rPr>
        <w:t xml:space="preserve">המידע או סוג המידע </w:t>
      </w:r>
      <w:r w:rsidRPr="009C7781">
        <w:rPr>
          <w:rtl/>
        </w:rPr>
        <w:t xml:space="preserve">למימוש תפקידי השירות. דיווח זה נועד לאפשר פיקוח ובקרה חיצונית מקיפה על פעילות השירות מכוח סעיף זה, הן במישור הפנים-ממשלתי והן מטעמה של הרשות המחוקקת, ובכך להבטיח כי </w:t>
      </w:r>
      <w:r>
        <w:rPr>
          <w:rFonts w:hint="cs"/>
          <w:rtl/>
        </w:rPr>
        <w:t>הפעלת הסמכות</w:t>
      </w:r>
      <w:r w:rsidRPr="009C7781">
        <w:rPr>
          <w:rtl/>
        </w:rPr>
        <w:t xml:space="preserve"> נעשי</w:t>
      </w:r>
      <w:r>
        <w:rPr>
          <w:rFonts w:hint="cs"/>
          <w:rtl/>
        </w:rPr>
        <w:t>ת</w:t>
      </w:r>
      <w:r w:rsidRPr="009C7781">
        <w:rPr>
          <w:rtl/>
        </w:rPr>
        <w:t xml:space="preserve"> רק מקום בו הדבר דרוש לצורך הגשמת התכליות שלשמן </w:t>
      </w:r>
      <w:r>
        <w:rPr>
          <w:rFonts w:hint="cs"/>
          <w:rtl/>
        </w:rPr>
        <w:t>הוקנתה הסמכות</w:t>
      </w:r>
      <w:r w:rsidRPr="009C7781">
        <w:rPr>
          <w:rtl/>
        </w:rPr>
        <w:t xml:space="preserve"> </w:t>
      </w:r>
      <w:r>
        <w:rPr>
          <w:rFonts w:hint="cs"/>
          <w:rtl/>
        </w:rPr>
        <w:t>בידי ה</w:t>
      </w:r>
      <w:r w:rsidRPr="009C7781">
        <w:rPr>
          <w:rtl/>
        </w:rPr>
        <w:t>שירות</w:t>
      </w:r>
      <w:r>
        <w:rPr>
          <w:rFonts w:hint="cs"/>
          <w:rtl/>
        </w:rPr>
        <w:t>.</w:t>
      </w:r>
    </w:p>
    <w:p w14:paraId="097DCF64" w14:textId="77777777" w:rsidR="00E51F8A" w:rsidRPr="00D61D79" w:rsidRDefault="00E51F8A" w:rsidP="00E51F8A">
      <w:pPr>
        <w:pStyle w:val="Hesber1st"/>
        <w:rPr>
          <w:rtl/>
        </w:rPr>
      </w:pPr>
    </w:p>
    <w:p w14:paraId="3A89F34A" w14:textId="77777777" w:rsidR="00E51F8A" w:rsidRDefault="00E51F8A" w:rsidP="00E51F8A">
      <w:pPr>
        <w:pStyle w:val="Hesber1st"/>
        <w:rPr>
          <w:rtl/>
        </w:rPr>
      </w:pPr>
      <w:r w:rsidRPr="003D5412">
        <w:rPr>
          <w:b/>
          <w:bCs/>
          <w:rtl/>
        </w:rPr>
        <w:t xml:space="preserve">סעיף </w:t>
      </w:r>
      <w:r>
        <w:rPr>
          <w:rFonts w:hint="cs"/>
          <w:b/>
          <w:bCs/>
          <w:rtl/>
        </w:rPr>
        <w:t>11</w:t>
      </w:r>
    </w:p>
    <w:p w14:paraId="59472E0E" w14:textId="77777777" w:rsidR="00E51F8A" w:rsidRDefault="00E51F8A" w:rsidP="00E51F8A">
      <w:pPr>
        <w:pStyle w:val="Hesber1st"/>
        <w:rPr>
          <w:rtl/>
        </w:rPr>
      </w:pPr>
      <w:r>
        <w:rPr>
          <w:rtl/>
        </w:rPr>
        <w:t>מוצע להוסיף סעיף חדש – סעיף 11</w:t>
      </w:r>
      <w:r>
        <w:rPr>
          <w:rFonts w:hint="cs"/>
          <w:rtl/>
        </w:rPr>
        <w:t>ב</w:t>
      </w:r>
      <w:r>
        <w:rPr>
          <w:rtl/>
        </w:rPr>
        <w:t xml:space="preserve"> </w:t>
      </w:r>
      <w:r>
        <w:rPr>
          <w:rFonts w:hint="cs"/>
          <w:rtl/>
        </w:rPr>
        <w:t>אשר יכלול</w:t>
      </w:r>
      <w:r>
        <w:rPr>
          <w:rtl/>
        </w:rPr>
        <w:t xml:space="preserve"> הוראות </w:t>
      </w:r>
      <w:r>
        <w:rPr>
          <w:rFonts w:hint="cs"/>
          <w:rtl/>
        </w:rPr>
        <w:t xml:space="preserve">שונות </w:t>
      </w:r>
      <w:r>
        <w:rPr>
          <w:rtl/>
        </w:rPr>
        <w:t>לעניין טיפול במידע ו</w:t>
      </w:r>
      <w:r>
        <w:rPr>
          <w:rFonts w:hint="cs"/>
          <w:rtl/>
        </w:rPr>
        <w:t xml:space="preserve">בפרט לעניין </w:t>
      </w:r>
      <w:r>
        <w:rPr>
          <w:rtl/>
        </w:rPr>
        <w:t>שמירה</w:t>
      </w:r>
      <w:r>
        <w:rPr>
          <w:rFonts w:hint="cs"/>
          <w:rtl/>
        </w:rPr>
        <w:t xml:space="preserve"> ו</w:t>
      </w:r>
      <w:r>
        <w:rPr>
          <w:rtl/>
        </w:rPr>
        <w:t>מחיקה</w:t>
      </w:r>
      <w:r>
        <w:rPr>
          <w:rFonts w:hint="cs"/>
          <w:rtl/>
        </w:rPr>
        <w:t xml:space="preserve"> של מידע, המתקבל או נאסף מכוח סמכויות שונות של השירות לפי חוק זה או לפי דין רלוונטי אחר</w:t>
      </w:r>
      <w:r>
        <w:rPr>
          <w:rtl/>
        </w:rPr>
        <w:t>, וכן פיקוח ובקרה</w:t>
      </w:r>
      <w:r>
        <w:rPr>
          <w:rFonts w:hint="cs"/>
          <w:rtl/>
        </w:rPr>
        <w:t xml:space="preserve"> של השירות על השימוש במידע</w:t>
      </w:r>
      <w:r>
        <w:rPr>
          <w:rtl/>
        </w:rPr>
        <w:t xml:space="preserve">. </w:t>
      </w:r>
    </w:p>
    <w:p w14:paraId="1ABEB691" w14:textId="77777777" w:rsidR="00E51F8A" w:rsidRDefault="00E51F8A" w:rsidP="00E51F8A">
      <w:pPr>
        <w:pStyle w:val="Hesber1st"/>
        <w:rPr>
          <w:rtl/>
        </w:rPr>
      </w:pPr>
      <w:r>
        <w:rPr>
          <w:rFonts w:hint="cs"/>
          <w:rtl/>
        </w:rPr>
        <w:t>בהתאם, ב</w:t>
      </w:r>
      <w:r>
        <w:rPr>
          <w:rtl/>
        </w:rPr>
        <w:t>פסקה (א) לסעיף 11</w:t>
      </w:r>
      <w:r>
        <w:rPr>
          <w:rFonts w:hint="cs"/>
          <w:rtl/>
        </w:rPr>
        <w:t>ב</w:t>
      </w:r>
      <w:r>
        <w:rPr>
          <w:rtl/>
        </w:rPr>
        <w:t xml:space="preserve"> המוצע</w:t>
      </w:r>
      <w:r>
        <w:rPr>
          <w:rFonts w:hint="cs"/>
          <w:rtl/>
        </w:rPr>
        <w:t xml:space="preserve">, </w:t>
      </w:r>
      <w:r>
        <w:rPr>
          <w:rtl/>
        </w:rPr>
        <w:t>מוצע לקבוע כי ראש הממשלה יקבע בכללים הוראות לעניין תקופת שמירתו של המידע שהתקבל לפי סעיפים 8א, 9, 10, 10א</w:t>
      </w:r>
      <w:r>
        <w:rPr>
          <w:rFonts w:hint="cs"/>
          <w:rtl/>
        </w:rPr>
        <w:t>, 11</w:t>
      </w:r>
      <w:r>
        <w:rPr>
          <w:rtl/>
        </w:rPr>
        <w:t xml:space="preserve"> ו- 11</w:t>
      </w:r>
      <w:r>
        <w:rPr>
          <w:rFonts w:hint="cs"/>
          <w:rtl/>
        </w:rPr>
        <w:t>א</w:t>
      </w:r>
      <w:r>
        <w:rPr>
          <w:rtl/>
        </w:rPr>
        <w:t xml:space="preserve"> תוך הבהרה, כי תקופת השמירה לא תעלה על חמש שנים. לצד האמור, ראש השירות יוכל להתיר שמירת מידע מסוים לתקופה ארוכה יותר מחמש שנים, במידה והמידע דרוש לצורך חקירה. עוד מוצע להוסיף, כי ראש הממשלה, בהסכמת שר המשפטים, יקבע הוראות בכללים בדבר דרך העברת סוגי המידע לשירות, פיקוח ובקרה של השירות על שימוש במידע וכן הוראות בדבר אופן החזקתו ושמירתו של המידע.</w:t>
      </w:r>
    </w:p>
    <w:p w14:paraId="216E863C" w14:textId="77777777" w:rsidR="00E51F8A" w:rsidRDefault="00E51F8A" w:rsidP="00E51F8A">
      <w:pPr>
        <w:pStyle w:val="Hesber1st"/>
        <w:rPr>
          <w:rtl/>
        </w:rPr>
      </w:pPr>
    </w:p>
    <w:p w14:paraId="2820700F" w14:textId="77777777" w:rsidR="00E51F8A" w:rsidRDefault="00E51F8A" w:rsidP="00E51F8A">
      <w:pPr>
        <w:pStyle w:val="Hesber1st"/>
        <w:rPr>
          <w:rtl/>
        </w:rPr>
      </w:pPr>
      <w:r>
        <w:rPr>
          <w:rFonts w:hint="cs"/>
          <w:rtl/>
        </w:rPr>
        <w:t>ב</w:t>
      </w:r>
      <w:r>
        <w:rPr>
          <w:rtl/>
        </w:rPr>
        <w:t>פסקה (ב) לסעיף 11</w:t>
      </w:r>
      <w:r>
        <w:rPr>
          <w:rFonts w:hint="cs"/>
          <w:rtl/>
        </w:rPr>
        <w:t>ב</w:t>
      </w:r>
      <w:r>
        <w:rPr>
          <w:rtl/>
        </w:rPr>
        <w:t xml:space="preserve"> המוצע</w:t>
      </w:r>
      <w:r>
        <w:rPr>
          <w:rFonts w:hint="cs"/>
          <w:rtl/>
        </w:rPr>
        <w:t xml:space="preserve">, </w:t>
      </w:r>
      <w:r>
        <w:rPr>
          <w:rtl/>
        </w:rPr>
        <w:t>מוצע להבהיר בסעיף כי ככל שבוטל היתר שניתן לשירות מכ</w:t>
      </w:r>
      <w:r>
        <w:rPr>
          <w:rFonts w:hint="cs"/>
          <w:rtl/>
        </w:rPr>
        <w:t>ו</w:t>
      </w:r>
      <w:r>
        <w:rPr>
          <w:rtl/>
        </w:rPr>
        <w:t xml:space="preserve">ח סעיפים 8א(ג)(2), 10(ב) ו- 10א(ג), המידע שנאסף מכוחו </w:t>
      </w:r>
      <w:r>
        <w:rPr>
          <w:rFonts w:hint="cs"/>
          <w:rtl/>
        </w:rPr>
        <w:t xml:space="preserve">של ההיתר שבוטל </w:t>
      </w:r>
      <w:r>
        <w:rPr>
          <w:rtl/>
        </w:rPr>
        <w:t>יימחק ללא דיחוי.</w:t>
      </w:r>
    </w:p>
    <w:p w14:paraId="7F77B521" w14:textId="77777777" w:rsidR="00E51F8A" w:rsidRDefault="00E51F8A" w:rsidP="00E51F8A">
      <w:pPr>
        <w:pStyle w:val="Hesber1st"/>
        <w:rPr>
          <w:rtl/>
        </w:rPr>
      </w:pPr>
    </w:p>
    <w:p w14:paraId="2E6CB058" w14:textId="77777777" w:rsidR="00E51F8A" w:rsidRDefault="00E51F8A" w:rsidP="00E51F8A">
      <w:pPr>
        <w:pStyle w:val="Hesber1st"/>
        <w:rPr>
          <w:rtl/>
        </w:rPr>
      </w:pPr>
      <w:r>
        <w:rPr>
          <w:rFonts w:hint="cs"/>
          <w:rtl/>
        </w:rPr>
        <w:t>לעומת זאת, ב</w:t>
      </w:r>
      <w:r>
        <w:rPr>
          <w:rtl/>
        </w:rPr>
        <w:t>פסקה (ג) לסעיף 11</w:t>
      </w:r>
      <w:r>
        <w:rPr>
          <w:rFonts w:hint="cs"/>
          <w:rtl/>
        </w:rPr>
        <w:t>ב</w:t>
      </w:r>
      <w:r>
        <w:rPr>
          <w:rtl/>
        </w:rPr>
        <w:t xml:space="preserve"> המוצע</w:t>
      </w:r>
      <w:r>
        <w:rPr>
          <w:rFonts w:hint="cs"/>
          <w:rtl/>
        </w:rPr>
        <w:t xml:space="preserve">, </w:t>
      </w:r>
      <w:r>
        <w:rPr>
          <w:rtl/>
        </w:rPr>
        <w:t>מוצע להבהיר כי תוצרים מודיעיניים או ידיעות שהופקו על בסיס המידע שהתקבל או נאסף לפי סעיפים 8א, 9, 10, 10א ו- 11 – לא יימחקו.</w:t>
      </w:r>
    </w:p>
    <w:p w14:paraId="1AB5F577" w14:textId="77777777" w:rsidR="00E51F8A" w:rsidRDefault="00E51F8A" w:rsidP="00E51F8A">
      <w:pPr>
        <w:pStyle w:val="Hesber1st"/>
        <w:rPr>
          <w:rtl/>
        </w:rPr>
      </w:pPr>
    </w:p>
    <w:p w14:paraId="5196935F" w14:textId="77777777" w:rsidR="00E51F8A" w:rsidRDefault="00E51F8A" w:rsidP="00E51F8A">
      <w:pPr>
        <w:pStyle w:val="Hesber1st"/>
        <w:rPr>
          <w:rtl/>
        </w:rPr>
      </w:pPr>
      <w:r w:rsidRPr="002559F6">
        <w:rPr>
          <w:rFonts w:hint="cs"/>
          <w:rtl/>
        </w:rPr>
        <w:t xml:space="preserve">בפסקה (ד) לסעיף 11ב המוצע, </w:t>
      </w:r>
      <w:r>
        <w:rPr>
          <w:rFonts w:hint="cs"/>
          <w:rtl/>
        </w:rPr>
        <w:t xml:space="preserve">מבוקש להחיל את הוראות הסעיף גם על כללים לפי דין אחר המאפשרים </w:t>
      </w:r>
      <w:r>
        <w:rPr>
          <w:rFonts w:hint="cs"/>
          <w:rtl/>
        </w:rPr>
        <w:lastRenderedPageBreak/>
        <w:t xml:space="preserve">לשירות להורות לגוף אחר להעביר לו סוגי מידע. כן </w:t>
      </w:r>
      <w:r w:rsidRPr="002559F6">
        <w:rPr>
          <w:rFonts w:hint="cs"/>
          <w:rtl/>
        </w:rPr>
        <w:t xml:space="preserve">מוצע </w:t>
      </w:r>
      <w:r>
        <w:rPr>
          <w:rFonts w:hint="cs"/>
          <w:rtl/>
        </w:rPr>
        <w:t xml:space="preserve">להבנות את שיקול הדעת בעת קביעת כללים כאמור והוראות מכוחם, וכן לקבוע כי כללים כאמור </w:t>
      </w:r>
      <w:r w:rsidRPr="008404E8">
        <w:rPr>
          <w:rtl/>
        </w:rPr>
        <w:t>יכללו קביעה לענ</w:t>
      </w:r>
      <w:r w:rsidRPr="00F17000">
        <w:rPr>
          <w:rtl/>
        </w:rPr>
        <w:t xml:space="preserve">יין תוקף הוראה שתינתן מכוחם והוראות לעניין אופן קביעת </w:t>
      </w:r>
      <w:proofErr w:type="spellStart"/>
      <w:r w:rsidRPr="00F17000">
        <w:rPr>
          <w:rtl/>
        </w:rPr>
        <w:t>מורשי</w:t>
      </w:r>
      <w:proofErr w:type="spellEnd"/>
      <w:r w:rsidRPr="00F17000">
        <w:rPr>
          <w:rtl/>
        </w:rPr>
        <w:t xml:space="preserve"> השימוש במידע שיתקבל.</w:t>
      </w:r>
      <w:r>
        <w:rPr>
          <w:rFonts w:hint="cs"/>
          <w:rtl/>
        </w:rPr>
        <w:t xml:space="preserve"> הוראות אלה נועדו להבטיח כי העברת מידע לפי כללים כאמור לא תפגע בזכות לפרטיות במידה העולה על הנדרש.</w:t>
      </w:r>
    </w:p>
    <w:p w14:paraId="18A085BF" w14:textId="77777777" w:rsidR="00E51F8A" w:rsidRDefault="00E51F8A" w:rsidP="00E51F8A">
      <w:pPr>
        <w:pStyle w:val="Hesber1st"/>
        <w:rPr>
          <w:rtl/>
        </w:rPr>
      </w:pPr>
    </w:p>
    <w:p w14:paraId="6137A8E2" w14:textId="77777777" w:rsidR="00E51F8A" w:rsidRPr="00F14886" w:rsidRDefault="00E51F8A" w:rsidP="00E51F8A">
      <w:pPr>
        <w:pStyle w:val="Hesber1st"/>
        <w:rPr>
          <w:b/>
          <w:bCs/>
          <w:sz w:val="26"/>
          <w:u w:val="single"/>
          <w:rtl/>
        </w:rPr>
      </w:pPr>
      <w:r w:rsidRPr="00F14886">
        <w:rPr>
          <w:rFonts w:hint="cs"/>
          <w:b/>
          <w:bCs/>
          <w:sz w:val="26"/>
          <w:u w:val="single"/>
          <w:rtl/>
        </w:rPr>
        <w:t>סעיף 12</w:t>
      </w:r>
    </w:p>
    <w:p w14:paraId="2F56BE4B" w14:textId="77777777" w:rsidR="00E51F8A" w:rsidRPr="00F14886" w:rsidRDefault="00E51F8A" w:rsidP="00E51F8A">
      <w:pPr>
        <w:rPr>
          <w:sz w:val="26"/>
          <w:szCs w:val="26"/>
          <w:rtl/>
        </w:rPr>
      </w:pPr>
      <w:r w:rsidRPr="00F14886">
        <w:rPr>
          <w:sz w:val="26"/>
          <w:szCs w:val="26"/>
          <w:rtl/>
        </w:rPr>
        <w:t xml:space="preserve">סמכות </w:t>
      </w:r>
      <w:r w:rsidRPr="00F14886">
        <w:rPr>
          <w:rFonts w:hint="cs"/>
          <w:sz w:val="26"/>
          <w:szCs w:val="26"/>
          <w:rtl/>
        </w:rPr>
        <w:t>ה</w:t>
      </w:r>
      <w:r w:rsidRPr="00F14886">
        <w:rPr>
          <w:sz w:val="26"/>
          <w:szCs w:val="26"/>
          <w:rtl/>
        </w:rPr>
        <w:t xml:space="preserve">שירות לקבוע הוראות בדבר סיווג ביטחוני והתאמה ביטחונית מעוגנת בסעיף 7 לחוק המפרט את ייעוד השירות ותפקידיו. </w:t>
      </w:r>
      <w:r>
        <w:rPr>
          <w:rFonts w:hint="cs"/>
          <w:sz w:val="26"/>
          <w:szCs w:val="26"/>
          <w:rtl/>
        </w:rPr>
        <w:t xml:space="preserve">כיום, </w:t>
      </w:r>
      <w:r w:rsidRPr="00F14886">
        <w:rPr>
          <w:sz w:val="26"/>
          <w:szCs w:val="26"/>
          <w:rtl/>
        </w:rPr>
        <w:t xml:space="preserve">סמכות זו מסויגת לתפקידים ולמשרות בשירות הציבורי ובגופים אחרים, כפי שקבעה הממשלה. המדובר בגופים בהם קיים מידע המחייב מתן הוראות בדבר סיווג ביטחוני על ידי השירות וכן קביעה של התאמה ביטחונית לאדם המבצע תפקיד או משרה בגופים אלו. </w:t>
      </w:r>
    </w:p>
    <w:p w14:paraId="2DCF1512" w14:textId="77777777" w:rsidR="00E51F8A" w:rsidRPr="00F14886" w:rsidRDefault="00E51F8A" w:rsidP="00E51F8A">
      <w:pPr>
        <w:rPr>
          <w:sz w:val="26"/>
          <w:szCs w:val="26"/>
          <w:rtl/>
        </w:rPr>
      </w:pPr>
      <w:r w:rsidRPr="00F14886">
        <w:rPr>
          <w:rFonts w:hint="cs"/>
          <w:sz w:val="26"/>
          <w:szCs w:val="26"/>
          <w:rtl/>
        </w:rPr>
        <w:t>בשנים האחרונות, עלה צורך לבצע התאמה ביטחונית לגורמים נוספים שאינם נחשבים במישרין למי שממלאים תפקיד או משרה בשירות הציבורי או בגופים אחרים כאמור. המדובר בבעלי מקצועות חופשיים כדוגמת עורכי דין, מומחים, מגשרים וכדומה, שאינם מועסקים בתפקיד או משרה כאמור, אלא שבהקשרים מסוימים, מילוי תפקידם מחייב חשיפתם לחומר מסווג. הכוונה היא לנסיבות שבהן</w:t>
      </w:r>
      <w:r>
        <w:rPr>
          <w:rFonts w:hint="cs"/>
          <w:sz w:val="26"/>
          <w:szCs w:val="26"/>
          <w:rtl/>
        </w:rPr>
        <w:t>,</w:t>
      </w:r>
      <w:r w:rsidRPr="00F14886">
        <w:rPr>
          <w:rFonts w:hint="cs"/>
          <w:sz w:val="26"/>
          <w:szCs w:val="26"/>
          <w:rtl/>
        </w:rPr>
        <w:t xml:space="preserve"> </w:t>
      </w:r>
      <w:r>
        <w:rPr>
          <w:rFonts w:hint="cs"/>
          <w:sz w:val="26"/>
          <w:szCs w:val="26"/>
          <w:rtl/>
        </w:rPr>
        <w:t xml:space="preserve">למשל מתנהל הליך משפטי בעניינו של אדם שמילא תפקיד שסווג בסיווג ביטחוני, ולצורך הכרעה בהליך נדרשת חשיפה למידע מסווג. ואולם, בא כוחו של אותו אדם אינו מרשה להיחשף למידע המסווג לשם ייצוגו בהליך.  </w:t>
      </w:r>
      <w:r w:rsidRPr="00F14886">
        <w:rPr>
          <w:rFonts w:hint="cs"/>
          <w:sz w:val="26"/>
          <w:szCs w:val="26"/>
          <w:rtl/>
        </w:rPr>
        <w:t xml:space="preserve">לצורך כך, נמצא כי </w:t>
      </w:r>
      <w:r w:rsidRPr="00F14886">
        <w:rPr>
          <w:sz w:val="26"/>
          <w:szCs w:val="26"/>
          <w:rtl/>
        </w:rPr>
        <w:t xml:space="preserve">נדרש להרחיב את תחולת </w:t>
      </w:r>
      <w:r w:rsidRPr="00F14886">
        <w:rPr>
          <w:rFonts w:hint="cs"/>
          <w:sz w:val="26"/>
          <w:szCs w:val="26"/>
          <w:rtl/>
        </w:rPr>
        <w:t xml:space="preserve">סמכותו של השירות </w:t>
      </w:r>
      <w:r w:rsidRPr="00F14886">
        <w:rPr>
          <w:sz w:val="26"/>
          <w:szCs w:val="26"/>
          <w:rtl/>
        </w:rPr>
        <w:t>לקבוע הוראות בדבר סיווג ביטחוני</w:t>
      </w:r>
      <w:r w:rsidRPr="00F14886">
        <w:rPr>
          <w:rFonts w:hint="cs"/>
          <w:sz w:val="26"/>
          <w:szCs w:val="26"/>
          <w:rtl/>
        </w:rPr>
        <w:t xml:space="preserve"> לתפקידים כאמור, ובהתאם לכך גם לקבוע </w:t>
      </w:r>
      <w:r w:rsidRPr="00F14886">
        <w:rPr>
          <w:sz w:val="26"/>
          <w:szCs w:val="26"/>
          <w:rtl/>
        </w:rPr>
        <w:t>התאמה ביטחונית</w:t>
      </w:r>
      <w:r w:rsidRPr="00F14886">
        <w:rPr>
          <w:rFonts w:hint="cs"/>
          <w:sz w:val="26"/>
          <w:szCs w:val="26"/>
          <w:rtl/>
        </w:rPr>
        <w:t xml:space="preserve"> למי שממלא אותם.</w:t>
      </w:r>
      <w:r w:rsidRPr="00F14886">
        <w:rPr>
          <w:sz w:val="26"/>
          <w:szCs w:val="26"/>
          <w:rtl/>
        </w:rPr>
        <w:t xml:space="preserve"> </w:t>
      </w:r>
    </w:p>
    <w:p w14:paraId="7C681480" w14:textId="77777777" w:rsidR="00E51F8A" w:rsidRDefault="00E51F8A" w:rsidP="00E51F8A">
      <w:pPr>
        <w:rPr>
          <w:sz w:val="26"/>
          <w:szCs w:val="26"/>
          <w:rtl/>
        </w:rPr>
      </w:pPr>
      <w:r w:rsidRPr="00F14886">
        <w:rPr>
          <w:rFonts w:hint="cs"/>
          <w:sz w:val="26"/>
          <w:szCs w:val="26"/>
          <w:rtl/>
        </w:rPr>
        <w:t>על כן, מוצע</w:t>
      </w:r>
      <w:r>
        <w:rPr>
          <w:rFonts w:hint="cs"/>
          <w:sz w:val="26"/>
          <w:szCs w:val="26"/>
          <w:rtl/>
        </w:rPr>
        <w:t xml:space="preserve"> </w:t>
      </w:r>
      <w:r w:rsidRPr="00F14886">
        <w:rPr>
          <w:rFonts w:hint="cs"/>
          <w:sz w:val="26"/>
          <w:szCs w:val="26"/>
          <w:rtl/>
        </w:rPr>
        <w:t xml:space="preserve">לקבוע כי גם </w:t>
      </w:r>
      <w:r>
        <w:rPr>
          <w:rFonts w:hint="cs"/>
          <w:sz w:val="26"/>
          <w:szCs w:val="26"/>
          <w:rtl/>
        </w:rPr>
        <w:t>ביחס ל</w:t>
      </w:r>
      <w:r w:rsidRPr="00F14886">
        <w:rPr>
          <w:rFonts w:hint="cs"/>
          <w:sz w:val="26"/>
          <w:szCs w:val="26"/>
          <w:rtl/>
        </w:rPr>
        <w:t xml:space="preserve">בעלי תפקידים כאמור, </w:t>
      </w:r>
      <w:r w:rsidRPr="00F14886">
        <w:rPr>
          <w:sz w:val="26"/>
          <w:szCs w:val="26"/>
          <w:rtl/>
        </w:rPr>
        <w:t>אשר ממלאים תפקיד בהליך ש</w:t>
      </w:r>
      <w:r w:rsidRPr="00F14886">
        <w:rPr>
          <w:rFonts w:hint="cs"/>
          <w:sz w:val="26"/>
          <w:szCs w:val="26"/>
          <w:rtl/>
        </w:rPr>
        <w:t xml:space="preserve">צד </w:t>
      </w:r>
      <w:r w:rsidRPr="00F14886">
        <w:rPr>
          <w:sz w:val="26"/>
          <w:szCs w:val="26"/>
          <w:rtl/>
        </w:rPr>
        <w:t xml:space="preserve">לו הוא אדם אשר </w:t>
      </w:r>
      <w:r w:rsidRPr="00F14886">
        <w:rPr>
          <w:rFonts w:hint="cs"/>
          <w:sz w:val="26"/>
          <w:szCs w:val="26"/>
          <w:rtl/>
        </w:rPr>
        <w:t xml:space="preserve">מבצע, או </w:t>
      </w:r>
      <w:r w:rsidRPr="00F14886">
        <w:rPr>
          <w:sz w:val="26"/>
          <w:szCs w:val="26"/>
          <w:rtl/>
        </w:rPr>
        <w:t xml:space="preserve">ביצע </w:t>
      </w:r>
      <w:r w:rsidRPr="00F14886">
        <w:rPr>
          <w:rFonts w:hint="cs"/>
          <w:sz w:val="26"/>
          <w:szCs w:val="26"/>
          <w:rtl/>
        </w:rPr>
        <w:t xml:space="preserve">בעבר, </w:t>
      </w:r>
      <w:r w:rsidRPr="00F14886">
        <w:rPr>
          <w:sz w:val="26"/>
          <w:szCs w:val="26"/>
          <w:rtl/>
        </w:rPr>
        <w:t xml:space="preserve">תפקיד או משרה שסווגו בסיווג ביטחוני, או </w:t>
      </w:r>
      <w:r>
        <w:rPr>
          <w:rFonts w:hint="cs"/>
          <w:sz w:val="26"/>
          <w:szCs w:val="26"/>
          <w:rtl/>
        </w:rPr>
        <w:t>יורשיו</w:t>
      </w:r>
      <w:r w:rsidRPr="00F14886">
        <w:rPr>
          <w:sz w:val="26"/>
          <w:szCs w:val="26"/>
          <w:rtl/>
        </w:rPr>
        <w:t xml:space="preserve"> של אדם כאמור,</w:t>
      </w:r>
      <w:r>
        <w:rPr>
          <w:rFonts w:hint="cs"/>
          <w:sz w:val="26"/>
          <w:szCs w:val="26"/>
          <w:rtl/>
        </w:rPr>
        <w:t xml:space="preserve"> </w:t>
      </w:r>
      <w:r w:rsidRPr="00F14886">
        <w:rPr>
          <w:sz w:val="26"/>
          <w:szCs w:val="26"/>
          <w:rtl/>
        </w:rPr>
        <w:t xml:space="preserve">השירות יהיה רשאי לקבוע הוראות בדבר סיווג ביטחוני </w:t>
      </w:r>
      <w:r>
        <w:rPr>
          <w:rFonts w:hint="cs"/>
          <w:sz w:val="26"/>
          <w:szCs w:val="26"/>
          <w:rtl/>
        </w:rPr>
        <w:t>והתאמה ביטחונית. זאת,</w:t>
      </w:r>
      <w:r w:rsidRPr="00F14886">
        <w:rPr>
          <w:sz w:val="26"/>
          <w:szCs w:val="26"/>
          <w:rtl/>
        </w:rPr>
        <w:t xml:space="preserve"> ובלבד </w:t>
      </w:r>
      <w:r w:rsidRPr="00F14886">
        <w:rPr>
          <w:rFonts w:hint="cs"/>
          <w:sz w:val="26"/>
          <w:szCs w:val="26"/>
          <w:rtl/>
        </w:rPr>
        <w:t>ש</w:t>
      </w:r>
      <w:r w:rsidRPr="00F14886">
        <w:rPr>
          <w:sz w:val="26"/>
          <w:szCs w:val="26"/>
          <w:rtl/>
        </w:rPr>
        <w:t xml:space="preserve">ראש השירות שוכנע כי </w:t>
      </w:r>
      <w:r w:rsidRPr="00F14886">
        <w:rPr>
          <w:rFonts w:hint="cs"/>
          <w:sz w:val="26"/>
          <w:szCs w:val="26"/>
          <w:rtl/>
        </w:rPr>
        <w:t xml:space="preserve">מתקיימים שני תנאים: ראשית, כי </w:t>
      </w:r>
      <w:r w:rsidRPr="00F14886">
        <w:rPr>
          <w:sz w:val="26"/>
          <w:szCs w:val="26"/>
          <w:rtl/>
        </w:rPr>
        <w:t>האדם האמור נחשף במסגרת תפקידו למידע מסווג הנדרש לצורך הכרעה בהליך, או שמידע מסווג אחר הנוגע לו במישרין, בהקשרי התפקיד או המשרה אותם ביצע , נדרש לצורך הכרעה ב</w:t>
      </w:r>
      <w:r w:rsidRPr="00F14886">
        <w:rPr>
          <w:rFonts w:hint="cs"/>
          <w:sz w:val="26"/>
          <w:szCs w:val="26"/>
          <w:rtl/>
        </w:rPr>
        <w:t xml:space="preserve">הליך. שנית, </w:t>
      </w:r>
      <w:r w:rsidRPr="00F14886">
        <w:rPr>
          <w:sz w:val="26"/>
          <w:szCs w:val="26"/>
          <w:rtl/>
        </w:rPr>
        <w:t xml:space="preserve">כי </w:t>
      </w:r>
      <w:r w:rsidRPr="00F14886">
        <w:rPr>
          <w:rFonts w:hint="cs"/>
          <w:sz w:val="26"/>
          <w:szCs w:val="26"/>
          <w:rtl/>
        </w:rPr>
        <w:t>על מנת שבעל התפקיד האמור יוכל למלא כנדרש את תפקידו בהליך, נדרש כי הוא ייחשף למידע מסווג. כפועל יוצא מכך, על מנת שניתן יהיה לחשוף את בעל התפקיד האמור למידע מסווג, נדרש לקבוע את התאמתו הביטחונית באמצעות הליך בדיקה המבוצע על-ידי השירות, ואשר עשוי, כמקובל, לכלול גם בדיקת פוליגרף, לפי העניין. לעניין זה מוצע להגדיר "הליך" באופן רחב כך שיכלול הליכים שיפוטיים, הליכים מעין שיפוטיים, הליכים מנהליים, הליכים אחרים ליישוב סכסוכים וכן הליכים בפני ועדות חקירה לפי חוק ועדות חקירה, התשכ"ט-1969. בנוסף, מוצע לקבוע</w:t>
      </w:r>
      <w:r w:rsidRPr="00F14886">
        <w:rPr>
          <w:sz w:val="26"/>
          <w:szCs w:val="26"/>
          <w:rtl/>
        </w:rPr>
        <w:t xml:space="preserve"> כי ביצוע הליך התאמה ביטחונית לבעל תפקיד כאמור יותנה בהסכמתו.</w:t>
      </w:r>
      <w:r w:rsidRPr="00F14886">
        <w:rPr>
          <w:rFonts w:hint="cs"/>
          <w:sz w:val="26"/>
          <w:szCs w:val="26"/>
          <w:rtl/>
        </w:rPr>
        <w:t xml:space="preserve"> </w:t>
      </w:r>
      <w:r w:rsidRPr="00F14886">
        <w:rPr>
          <w:sz w:val="26"/>
          <w:szCs w:val="26"/>
          <w:rtl/>
        </w:rPr>
        <w:t>יובהר כי אין בהסדר זה כדי לגרוע מסמכויות הוועדה לאישור סניגורים, אשר הוקמה מכוח סעיף 317 לחוק השיפוט הצבאי, תשט"ו-1955.</w:t>
      </w:r>
    </w:p>
    <w:p w14:paraId="3FE75ED9" w14:textId="77777777" w:rsidR="00E51F8A" w:rsidRPr="00F14886" w:rsidRDefault="00E51F8A" w:rsidP="00E51F8A">
      <w:pPr>
        <w:rPr>
          <w:sz w:val="26"/>
          <w:szCs w:val="26"/>
        </w:rPr>
      </w:pPr>
      <w:r>
        <w:rPr>
          <w:rFonts w:hint="cs"/>
          <w:sz w:val="26"/>
          <w:szCs w:val="26"/>
          <w:rtl/>
        </w:rPr>
        <w:t xml:space="preserve">יצוין, כי במסגרת התיקון האמור מוצע להעביר חלק מן ההסדר הקבוע היום בסעיף 7(ב)(3) לעניין זה לסעיף 15. באופן זה סעיף 7(ב)(3) ייוחד לתפקיד המוטל על השירות בנושא זה וסעיף 15 יפרט את מכלול הסמכויות הנדרשות לשירות לצורך מילוי התפקיד האמור.  </w:t>
      </w:r>
    </w:p>
    <w:p w14:paraId="2A2E777C" w14:textId="77777777" w:rsidR="00E51F8A" w:rsidRPr="007209D5" w:rsidRDefault="00E51F8A" w:rsidP="00E51F8A">
      <w:pPr>
        <w:pStyle w:val="Hesber1st"/>
        <w:rPr>
          <w:rtl/>
        </w:rPr>
      </w:pPr>
    </w:p>
    <w:p w14:paraId="53AAA2EB" w14:textId="77777777" w:rsidR="00E51F8A" w:rsidRPr="003D5412" w:rsidRDefault="00E51F8A" w:rsidP="00E51F8A">
      <w:pPr>
        <w:pStyle w:val="Hesber1st"/>
        <w:rPr>
          <w:b/>
          <w:bCs/>
          <w:rtl/>
        </w:rPr>
      </w:pPr>
      <w:r w:rsidRPr="003D5412">
        <w:rPr>
          <w:b/>
          <w:bCs/>
          <w:rtl/>
        </w:rPr>
        <w:lastRenderedPageBreak/>
        <w:t xml:space="preserve">סעיף </w:t>
      </w:r>
      <w:r>
        <w:rPr>
          <w:rFonts w:hint="cs"/>
          <w:b/>
          <w:bCs/>
          <w:rtl/>
        </w:rPr>
        <w:t>13</w:t>
      </w:r>
      <w:r w:rsidRPr="003D5412">
        <w:rPr>
          <w:rFonts w:hint="cs"/>
          <w:b/>
          <w:bCs/>
          <w:rtl/>
        </w:rPr>
        <w:t xml:space="preserve"> </w:t>
      </w:r>
    </w:p>
    <w:p w14:paraId="5438E72A" w14:textId="77777777" w:rsidR="00E51F8A" w:rsidRDefault="00E51F8A" w:rsidP="00E51F8A">
      <w:pPr>
        <w:pStyle w:val="Hesber1st"/>
        <w:rPr>
          <w:rtl/>
        </w:rPr>
      </w:pPr>
      <w:r>
        <w:rPr>
          <w:rtl/>
        </w:rPr>
        <w:t>מוצע להוסיף בסעיף 19</w:t>
      </w:r>
      <w:r>
        <w:rPr>
          <w:rFonts w:hint="cs"/>
          <w:rtl/>
        </w:rPr>
        <w:t>(א)(1)</w:t>
      </w:r>
      <w:r>
        <w:rPr>
          <w:rtl/>
        </w:rPr>
        <w:t xml:space="preserve"> לחוק כי אף דיווחים</w:t>
      </w:r>
      <w:r>
        <w:rPr>
          <w:rFonts w:hint="cs"/>
          <w:rtl/>
        </w:rPr>
        <w:t xml:space="preserve">, </w:t>
      </w:r>
      <w:r>
        <w:rPr>
          <w:rtl/>
        </w:rPr>
        <w:t xml:space="preserve">היתרים </w:t>
      </w:r>
      <w:r>
        <w:rPr>
          <w:rFonts w:hint="cs"/>
          <w:rtl/>
        </w:rPr>
        <w:t xml:space="preserve">והסמכות </w:t>
      </w:r>
      <w:r>
        <w:rPr>
          <w:rtl/>
        </w:rPr>
        <w:t>שהוצאו מכוח החוק הינם חסויים וגילויים ופרסומם אסור.</w:t>
      </w:r>
    </w:p>
    <w:p w14:paraId="26090F46" w14:textId="77777777" w:rsidR="00E51F8A" w:rsidRDefault="00E51F8A" w:rsidP="00E51F8A">
      <w:pPr>
        <w:pStyle w:val="Hesber1st"/>
        <w:rPr>
          <w:rtl/>
        </w:rPr>
      </w:pPr>
    </w:p>
    <w:p w14:paraId="449BC22D" w14:textId="77777777" w:rsidR="00E51F8A" w:rsidRDefault="00E51F8A" w:rsidP="00E51F8A">
      <w:pPr>
        <w:pStyle w:val="Hesber1st"/>
        <w:rPr>
          <w:b/>
          <w:bCs/>
          <w:rtl/>
        </w:rPr>
      </w:pPr>
      <w:r w:rsidRPr="007209D5">
        <w:rPr>
          <w:rFonts w:hint="cs"/>
          <w:b/>
          <w:bCs/>
          <w:rtl/>
        </w:rPr>
        <w:t>סעיף 14</w:t>
      </w:r>
    </w:p>
    <w:p w14:paraId="267518B5" w14:textId="77777777" w:rsidR="00E51F8A" w:rsidRPr="00823188" w:rsidRDefault="00E51F8A" w:rsidP="00E51F8A">
      <w:pPr>
        <w:pStyle w:val="Hesber1st"/>
        <w:rPr>
          <w:rtl/>
        </w:rPr>
      </w:pPr>
      <w:r w:rsidRPr="007209D5">
        <w:rPr>
          <w:rFonts w:hint="cs"/>
          <w:rtl/>
        </w:rPr>
        <w:t>מוצע להוסיף בסעיף 22(א) לחוק כי אף דיווחים</w:t>
      </w:r>
      <w:r>
        <w:rPr>
          <w:rFonts w:hint="cs"/>
          <w:rtl/>
        </w:rPr>
        <w:t xml:space="preserve">, </w:t>
      </w:r>
      <w:r w:rsidRPr="007209D5">
        <w:rPr>
          <w:rFonts w:hint="cs"/>
          <w:rtl/>
        </w:rPr>
        <w:t>היתרים</w:t>
      </w:r>
      <w:r>
        <w:rPr>
          <w:rFonts w:hint="cs"/>
          <w:rtl/>
        </w:rPr>
        <w:t xml:space="preserve"> והסמכות</w:t>
      </w:r>
      <w:r w:rsidRPr="007209D5">
        <w:rPr>
          <w:rFonts w:hint="cs"/>
          <w:rtl/>
        </w:rPr>
        <w:t xml:space="preserve"> שהוצאו מכ</w:t>
      </w:r>
      <w:r>
        <w:rPr>
          <w:rFonts w:hint="cs"/>
          <w:rtl/>
        </w:rPr>
        <w:t>ו</w:t>
      </w:r>
      <w:r w:rsidRPr="007209D5">
        <w:rPr>
          <w:rFonts w:hint="cs"/>
          <w:rtl/>
        </w:rPr>
        <w:t>ח החוק אינם טעונים פרסום ברשומות או פרסום פומבי אחר.</w:t>
      </w:r>
    </w:p>
    <w:p w14:paraId="7541A1DB" w14:textId="77777777" w:rsidR="00E51F8A" w:rsidRDefault="00E51F8A" w:rsidP="00E51F8A">
      <w:pPr>
        <w:pStyle w:val="Hesber1st"/>
        <w:rPr>
          <w:rtl/>
        </w:rPr>
      </w:pPr>
    </w:p>
    <w:p w14:paraId="71EB410C" w14:textId="77777777" w:rsidR="00E51F8A" w:rsidRPr="003D5412" w:rsidRDefault="00E51F8A" w:rsidP="00E51F8A">
      <w:pPr>
        <w:pStyle w:val="Hesber1st"/>
        <w:rPr>
          <w:b/>
          <w:bCs/>
          <w:rtl/>
        </w:rPr>
      </w:pPr>
      <w:r w:rsidRPr="003D5412">
        <w:rPr>
          <w:b/>
          <w:bCs/>
          <w:rtl/>
        </w:rPr>
        <w:t xml:space="preserve">סעיף </w:t>
      </w:r>
      <w:r>
        <w:rPr>
          <w:rFonts w:hint="cs"/>
          <w:b/>
          <w:bCs/>
          <w:rtl/>
        </w:rPr>
        <w:t>15</w:t>
      </w:r>
      <w:r w:rsidRPr="003D5412">
        <w:rPr>
          <w:rFonts w:hint="cs"/>
          <w:b/>
          <w:bCs/>
          <w:rtl/>
        </w:rPr>
        <w:t xml:space="preserve"> </w:t>
      </w:r>
    </w:p>
    <w:p w14:paraId="692B582D" w14:textId="77777777" w:rsidR="00E51F8A" w:rsidRDefault="00E51F8A" w:rsidP="00E51F8A">
      <w:pPr>
        <w:pStyle w:val="Hesber1st"/>
        <w:rPr>
          <w:rtl/>
        </w:rPr>
      </w:pPr>
      <w:r>
        <w:rPr>
          <w:rtl/>
        </w:rPr>
        <w:t>כיום, השירות מקבל מידע ממספר</w:t>
      </w:r>
      <w:r>
        <w:rPr>
          <w:rFonts w:hint="cs"/>
          <w:rtl/>
        </w:rPr>
        <w:t xml:space="preserve"> ספקיות תקשורת</w:t>
      </w:r>
      <w:r>
        <w:rPr>
          <w:rtl/>
        </w:rPr>
        <w:t>, בהתאם להוראות שהוצאו מכוח סעיף 11 בנוסחו הנוכחי. לאור מכלול התיקונים המוצעים כמפורט לעיל, ובכלל זאת ההבניה המוצעת ביחס לשיקול-הדעת שיידרש להפעיל טרם מתן הוראות כאמור בידי ראש השירות, מוצע להוסיף הוראת מעבר שבמסגרתה ייקבע כי הודעות שהוצאו לספקים מורשים מכוח סעיף 11 בנוסחו הנוכחי יעמדו בתוקפן למשך תקופה של שנה לכל היותר, אשר במהלכה יידרש השירות לקיים בחינה מעמיקה ביחס להודעות שהוצאו עד כה לספקים מורשים לצורך העברת מידע לידי השירות, ולהכריע, בהתאם להליך הנדרש לצורך כך לפי סעיף קטן (ב1) המוצע, האם יש להורות לספקים מורשים אלה להמשיך ולהעביר מידע לידי השירות.</w:t>
      </w:r>
    </w:p>
    <w:p w14:paraId="3EE2A910" w14:textId="77777777" w:rsidR="00E51F8A" w:rsidRDefault="00E51F8A" w:rsidP="00E51F8A">
      <w:pPr>
        <w:pStyle w:val="Hesber1st"/>
        <w:rPr>
          <w:rtl/>
        </w:rPr>
      </w:pPr>
    </w:p>
    <w:p w14:paraId="187CA82D" w14:textId="77777777" w:rsidR="00E51F8A" w:rsidRDefault="00E51F8A" w:rsidP="00E51F8A">
      <w:pPr>
        <w:pStyle w:val="Hesber1st"/>
        <w:rPr>
          <w:b/>
          <w:bCs/>
          <w:rtl/>
        </w:rPr>
      </w:pPr>
      <w:r w:rsidRPr="00A91B72">
        <w:rPr>
          <w:rFonts w:hint="cs"/>
          <w:b/>
          <w:bCs/>
          <w:rtl/>
        </w:rPr>
        <w:t xml:space="preserve">סעיף </w:t>
      </w:r>
      <w:r>
        <w:rPr>
          <w:rFonts w:hint="cs"/>
          <w:b/>
          <w:bCs/>
          <w:rtl/>
        </w:rPr>
        <w:t>16</w:t>
      </w:r>
      <w:r w:rsidRPr="00A91B72">
        <w:rPr>
          <w:rFonts w:hint="cs"/>
          <w:b/>
          <w:bCs/>
          <w:rtl/>
        </w:rPr>
        <w:t xml:space="preserve"> </w:t>
      </w:r>
    </w:p>
    <w:p w14:paraId="014C8644" w14:textId="77777777" w:rsidR="00E51F8A" w:rsidRPr="00E21420" w:rsidRDefault="00E51F8A" w:rsidP="00E51F8A">
      <w:pPr>
        <w:pStyle w:val="Hesber1st"/>
        <w:rPr>
          <w:rtl/>
        </w:rPr>
      </w:pPr>
      <w:r>
        <w:rPr>
          <w:rFonts w:hint="cs"/>
          <w:rtl/>
        </w:rPr>
        <w:t xml:space="preserve">סעיף 8(ב) לחוק קובע כי לשם מילוי תפקידי השירות לפי סעיפים 7(ב)(1), (2), או (6), יהיו לבעלי </w:t>
      </w:r>
      <w:r w:rsidRPr="005F56B4">
        <w:rPr>
          <w:rFonts w:hint="cs"/>
          <w:rtl/>
        </w:rPr>
        <w:t>תפקידים מבין עובדי השירות סמכויות שוטר לפי החיקוקים שבתוספת. כיום, התוספת מונה מספר דברי חקיקה, ובכללם גם את לח</w:t>
      </w:r>
      <w:r w:rsidRPr="005F56B4">
        <w:rPr>
          <w:rtl/>
        </w:rPr>
        <w:t>ו</w:t>
      </w:r>
      <w:r w:rsidRPr="005F56B4">
        <w:rPr>
          <w:rFonts w:hint="cs"/>
          <w:rtl/>
        </w:rPr>
        <w:t xml:space="preserve">ק סמכויות </w:t>
      </w:r>
      <w:r w:rsidRPr="005F56B4">
        <w:rPr>
          <w:rtl/>
        </w:rPr>
        <w:t>חי</w:t>
      </w:r>
      <w:r w:rsidRPr="005F56B4">
        <w:rPr>
          <w:rFonts w:hint="cs"/>
          <w:rtl/>
        </w:rPr>
        <w:t>פוש בשעת חירום (הוראת שעה), התשכ"ט-1969. ואולם, חוק זה בוטל בשנת 2005</w:t>
      </w:r>
      <w:r>
        <w:rPr>
          <w:rFonts w:hint="cs"/>
          <w:rtl/>
        </w:rPr>
        <w:t xml:space="preserve"> </w:t>
      </w:r>
      <w:r w:rsidRPr="005F56B4">
        <w:rPr>
          <w:rFonts w:hint="cs"/>
          <w:rtl/>
        </w:rPr>
        <w:t>ובמקומו</w:t>
      </w:r>
      <w:r>
        <w:rPr>
          <w:rFonts w:hint="cs"/>
          <w:rtl/>
        </w:rPr>
        <w:t xml:space="preserve"> בא </w:t>
      </w:r>
      <w:r w:rsidRPr="00E21420">
        <w:rPr>
          <w:rtl/>
        </w:rPr>
        <w:t>חוק סמכויות לשם שמירה על ביטחון הציבור, תשס"ה-2005</w:t>
      </w:r>
      <w:r>
        <w:rPr>
          <w:rFonts w:hint="cs"/>
          <w:rtl/>
        </w:rPr>
        <w:t>. בהתאם, מוצע לתקן את התוספת תוך מחיקת אזכורו של החוק שבוטל והוספת החוק שהתקבל תחתיו.</w:t>
      </w:r>
    </w:p>
    <w:p w14:paraId="6FC78FDA" w14:textId="77777777" w:rsidR="00E51F8A" w:rsidRPr="00E21420" w:rsidRDefault="00E51F8A" w:rsidP="00E51F8A">
      <w:pPr>
        <w:pStyle w:val="Hesber1st"/>
        <w:rPr>
          <w:rtl/>
        </w:rPr>
      </w:pPr>
    </w:p>
    <w:p w14:paraId="55E6A464" w14:textId="77777777" w:rsidR="00E51F8A" w:rsidRDefault="00E51F8A" w:rsidP="00E51F8A">
      <w:pPr>
        <w:pStyle w:val="Hesber1st"/>
        <w:rPr>
          <w:rtl/>
        </w:rPr>
      </w:pPr>
    </w:p>
    <w:p w14:paraId="0C3D81FF" w14:textId="77777777" w:rsidR="00E51F8A" w:rsidRDefault="00E51F8A" w:rsidP="00E51F8A">
      <w:pPr>
        <w:pStyle w:val="Hesber1st"/>
        <w:rPr>
          <w:rtl/>
        </w:rPr>
      </w:pPr>
    </w:p>
    <w:p w14:paraId="2EB0DC2B" w14:textId="77777777" w:rsidR="00E51F8A" w:rsidRDefault="00E51F8A" w:rsidP="00E51F8A">
      <w:pPr>
        <w:pStyle w:val="Hesber1st"/>
        <w:rPr>
          <w:rtl/>
        </w:rPr>
      </w:pPr>
    </w:p>
    <w:p w14:paraId="4C7533CA" w14:textId="77777777" w:rsidR="00DA31BF" w:rsidRDefault="00DA31BF" w:rsidP="00722C14">
      <w:pPr>
        <w:pStyle w:val="Hesber1st"/>
        <w:rPr>
          <w:rtl/>
        </w:rPr>
      </w:pPr>
    </w:p>
    <w:p w14:paraId="4750A912" w14:textId="77777777" w:rsidR="005C3827" w:rsidRDefault="005C3827"/>
    <w:sectPr w:rsidR="005C3827" w:rsidSect="00DA31BF">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6822" w14:textId="77777777" w:rsidR="003A6453" w:rsidRDefault="003A6453" w:rsidP="00DA31BF">
      <w:pPr>
        <w:spacing w:line="240" w:lineRule="auto"/>
      </w:pPr>
      <w:r>
        <w:separator/>
      </w:r>
    </w:p>
  </w:endnote>
  <w:endnote w:type="continuationSeparator" w:id="0">
    <w:p w14:paraId="7418F04B" w14:textId="77777777" w:rsidR="003A6453" w:rsidRDefault="003A6453" w:rsidP="00D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042C" w14:textId="77777777" w:rsidR="003A6453" w:rsidRDefault="003A6453" w:rsidP="00DA31BF">
      <w:pPr>
        <w:spacing w:line="240" w:lineRule="auto"/>
      </w:pPr>
      <w:r>
        <w:separator/>
      </w:r>
    </w:p>
  </w:footnote>
  <w:footnote w:type="continuationSeparator" w:id="0">
    <w:p w14:paraId="7709387D" w14:textId="77777777" w:rsidR="003A6453" w:rsidRDefault="003A6453" w:rsidP="00DA31BF">
      <w:pPr>
        <w:spacing w:line="240" w:lineRule="auto"/>
      </w:pPr>
      <w:r>
        <w:continuationSeparator/>
      </w:r>
    </w:p>
  </w:footnote>
  <w:footnote w:id="1">
    <w:p w14:paraId="65F85510" w14:textId="77777777" w:rsidR="00493D34" w:rsidRDefault="00493D34" w:rsidP="00493D34">
      <w:pPr>
        <w:pStyle w:val="a5"/>
        <w:rPr>
          <w:rtl/>
        </w:rPr>
      </w:pPr>
      <w:r>
        <w:rPr>
          <w:rStyle w:val="a7"/>
        </w:rPr>
        <w:footnoteRef/>
      </w:r>
      <w:r>
        <w:rPr>
          <w:rtl/>
        </w:rPr>
        <w:t xml:space="preserve"> </w:t>
      </w:r>
      <w:r>
        <w:rPr>
          <w:rFonts w:hint="cs"/>
          <w:rtl/>
        </w:rPr>
        <w:t>ס"ח התשס"ב, עמ' 179.</w:t>
      </w:r>
    </w:p>
  </w:footnote>
  <w:footnote w:id="2">
    <w:p w14:paraId="67386FC3" w14:textId="77777777" w:rsidR="00803612" w:rsidRDefault="00803612" w:rsidP="00803612">
      <w:pPr>
        <w:pStyle w:val="a5"/>
        <w:rPr>
          <w:rtl/>
        </w:rPr>
      </w:pPr>
      <w:r>
        <w:rPr>
          <w:rStyle w:val="a7"/>
        </w:rPr>
        <w:footnoteRef/>
      </w:r>
      <w:r>
        <w:rPr>
          <w:rtl/>
        </w:rPr>
        <w:t xml:space="preserve"> </w:t>
      </w:r>
      <w:r>
        <w:rPr>
          <w:rFonts w:hint="cs"/>
          <w:rtl/>
        </w:rPr>
        <w:t xml:space="preserve">ס"ח </w:t>
      </w:r>
      <w:r>
        <w:rPr>
          <w:rFonts w:hint="cs"/>
          <w:rtl/>
        </w:rPr>
        <w:t>התשנ"ה, עמ' 366.</w:t>
      </w:r>
    </w:p>
  </w:footnote>
  <w:footnote w:id="3">
    <w:p w14:paraId="6752D9D6" w14:textId="77777777" w:rsidR="00493D34" w:rsidRDefault="00493D34" w:rsidP="00493D34">
      <w:pPr>
        <w:pStyle w:val="a5"/>
        <w:rPr>
          <w:rtl/>
        </w:rPr>
      </w:pPr>
      <w:r>
        <w:rPr>
          <w:rStyle w:val="a7"/>
        </w:rPr>
        <w:footnoteRef/>
      </w:r>
      <w:r>
        <w:rPr>
          <w:rtl/>
        </w:rPr>
        <w:t xml:space="preserve"> </w:t>
      </w:r>
      <w:r>
        <w:rPr>
          <w:rFonts w:hint="cs"/>
          <w:rtl/>
        </w:rPr>
        <w:t xml:space="preserve">ס"ח </w:t>
      </w:r>
      <w:r>
        <w:rPr>
          <w:rFonts w:hint="cs"/>
          <w:rtl/>
        </w:rPr>
        <w:t>התשל"ט, עמ' 118.</w:t>
      </w:r>
    </w:p>
  </w:footnote>
  <w:footnote w:id="4">
    <w:p w14:paraId="338842B4" w14:textId="77777777" w:rsidR="00493D34" w:rsidRDefault="00493D34" w:rsidP="00493D34">
      <w:pPr>
        <w:pStyle w:val="a5"/>
        <w:rPr>
          <w:rtl/>
        </w:rPr>
      </w:pPr>
      <w:r>
        <w:rPr>
          <w:rStyle w:val="a7"/>
        </w:rPr>
        <w:footnoteRef/>
      </w:r>
      <w:r>
        <w:rPr>
          <w:rtl/>
        </w:rPr>
        <w:t xml:space="preserve"> </w:t>
      </w:r>
      <w:r>
        <w:rPr>
          <w:rFonts w:hint="cs"/>
          <w:rtl/>
        </w:rPr>
        <w:t xml:space="preserve">ס"ח </w:t>
      </w:r>
      <w:r>
        <w:rPr>
          <w:rFonts w:hint="cs"/>
          <w:rtl/>
        </w:rPr>
        <w:t>התשמ"א, עמ'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0C"/>
    <w:multiLevelType w:val="hybridMultilevel"/>
    <w:tmpl w:val="E91A245E"/>
    <w:lvl w:ilvl="0" w:tplc="4EA43B5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515"/>
    <w:multiLevelType w:val="hybridMultilevel"/>
    <w:tmpl w:val="9FCA9318"/>
    <w:lvl w:ilvl="0" w:tplc="7268A14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268D6"/>
    <w:multiLevelType w:val="hybridMultilevel"/>
    <w:tmpl w:val="42DA319E"/>
    <w:lvl w:ilvl="0" w:tplc="C414B2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866"/>
    <w:multiLevelType w:val="hybridMultilevel"/>
    <w:tmpl w:val="18B89FB2"/>
    <w:lvl w:ilvl="0" w:tplc="4C7466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63AA2"/>
    <w:multiLevelType w:val="hybridMultilevel"/>
    <w:tmpl w:val="53F67734"/>
    <w:lvl w:ilvl="0" w:tplc="879AAE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00BFE"/>
    <w:multiLevelType w:val="hybridMultilevel"/>
    <w:tmpl w:val="693C94B6"/>
    <w:lvl w:ilvl="0" w:tplc="76F4FB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F662A"/>
    <w:multiLevelType w:val="hybridMultilevel"/>
    <w:tmpl w:val="30B60DD8"/>
    <w:lvl w:ilvl="0" w:tplc="ADAC54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412CD"/>
    <w:multiLevelType w:val="hybridMultilevel"/>
    <w:tmpl w:val="042413D2"/>
    <w:lvl w:ilvl="0" w:tplc="BA40E03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C5605"/>
    <w:multiLevelType w:val="hybridMultilevel"/>
    <w:tmpl w:val="C7FEE52C"/>
    <w:lvl w:ilvl="0" w:tplc="78B0662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C581B"/>
    <w:multiLevelType w:val="hybridMultilevel"/>
    <w:tmpl w:val="A3EC3906"/>
    <w:lvl w:ilvl="0" w:tplc="D70A46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F686E"/>
    <w:multiLevelType w:val="hybridMultilevel"/>
    <w:tmpl w:val="04104DFE"/>
    <w:lvl w:ilvl="0" w:tplc="1CC632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A04D7"/>
    <w:multiLevelType w:val="hybridMultilevel"/>
    <w:tmpl w:val="30DA9AF2"/>
    <w:lvl w:ilvl="0" w:tplc="FFFFFFFF">
      <w:start w:val="1"/>
      <w:numFmt w:val="hebrew1"/>
      <w:lvlText w:val="%1."/>
      <w:lvlJc w:val="left"/>
      <w:pPr>
        <w:tabs>
          <w:tab w:val="num" w:pos="720"/>
        </w:tabs>
        <w:ind w:left="720" w:hanging="360"/>
      </w:pPr>
      <w:rPr>
        <w:rFonts w:hint="default"/>
      </w:rPr>
    </w:lvl>
    <w:lvl w:ilvl="1" w:tplc="FFFFFFFF">
      <w:start w:val="1"/>
      <w:numFmt w:val="decimal"/>
      <w:lvlRestart w:val="0"/>
      <w:lvlText w:val="(%2)"/>
      <w:lvlJc w:val="left"/>
      <w:pPr>
        <w:tabs>
          <w:tab w:val="num" w:pos="1704"/>
        </w:tabs>
        <w:ind w:left="1080" w:firstLine="0"/>
      </w:pPr>
      <w:rPr>
        <w:rFonts w:cs="David"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21040F7"/>
    <w:multiLevelType w:val="hybridMultilevel"/>
    <w:tmpl w:val="27B0EAC4"/>
    <w:lvl w:ilvl="0" w:tplc="7460E77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F712F"/>
    <w:multiLevelType w:val="hybridMultilevel"/>
    <w:tmpl w:val="CB1465DA"/>
    <w:lvl w:ilvl="0" w:tplc="BE4AA92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C6653"/>
    <w:multiLevelType w:val="hybridMultilevel"/>
    <w:tmpl w:val="82740F66"/>
    <w:lvl w:ilvl="0" w:tplc="A6F210B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516DD"/>
    <w:multiLevelType w:val="hybridMultilevel"/>
    <w:tmpl w:val="F6188472"/>
    <w:lvl w:ilvl="0" w:tplc="4D30A1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60BA9"/>
    <w:multiLevelType w:val="hybridMultilevel"/>
    <w:tmpl w:val="7534B952"/>
    <w:lvl w:ilvl="0" w:tplc="FFFFFFFF">
      <w:start w:val="1"/>
      <w:numFmt w:val="hebrew1"/>
      <w:lvlText w:val="%1."/>
      <w:lvlJc w:val="left"/>
      <w:pPr>
        <w:ind w:left="746" w:hanging="360"/>
      </w:pPr>
      <w:rPr>
        <w:rFonts w:hint="default"/>
      </w:rPr>
    </w:lvl>
    <w:lvl w:ilvl="1" w:tplc="FFFFFFFF" w:tentative="1">
      <w:start w:val="1"/>
      <w:numFmt w:val="lowerLetter"/>
      <w:lvlText w:val="%2."/>
      <w:lvlJc w:val="left"/>
      <w:pPr>
        <w:ind w:left="1466" w:hanging="360"/>
      </w:pPr>
    </w:lvl>
    <w:lvl w:ilvl="2" w:tplc="FFFFFFFF" w:tentative="1">
      <w:start w:val="1"/>
      <w:numFmt w:val="lowerRoman"/>
      <w:lvlText w:val="%3."/>
      <w:lvlJc w:val="right"/>
      <w:pPr>
        <w:ind w:left="2186" w:hanging="180"/>
      </w:pPr>
    </w:lvl>
    <w:lvl w:ilvl="3" w:tplc="FFFFFFFF" w:tentative="1">
      <w:start w:val="1"/>
      <w:numFmt w:val="decimal"/>
      <w:lvlText w:val="%4."/>
      <w:lvlJc w:val="left"/>
      <w:pPr>
        <w:ind w:left="2906" w:hanging="360"/>
      </w:pPr>
    </w:lvl>
    <w:lvl w:ilvl="4" w:tplc="FFFFFFFF" w:tentative="1">
      <w:start w:val="1"/>
      <w:numFmt w:val="lowerLetter"/>
      <w:lvlText w:val="%5."/>
      <w:lvlJc w:val="left"/>
      <w:pPr>
        <w:ind w:left="3626" w:hanging="360"/>
      </w:pPr>
    </w:lvl>
    <w:lvl w:ilvl="5" w:tplc="FFFFFFFF" w:tentative="1">
      <w:start w:val="1"/>
      <w:numFmt w:val="lowerRoman"/>
      <w:lvlText w:val="%6."/>
      <w:lvlJc w:val="right"/>
      <w:pPr>
        <w:ind w:left="4346" w:hanging="180"/>
      </w:pPr>
    </w:lvl>
    <w:lvl w:ilvl="6" w:tplc="FFFFFFFF" w:tentative="1">
      <w:start w:val="1"/>
      <w:numFmt w:val="decimal"/>
      <w:lvlText w:val="%7."/>
      <w:lvlJc w:val="left"/>
      <w:pPr>
        <w:ind w:left="5066" w:hanging="360"/>
      </w:pPr>
    </w:lvl>
    <w:lvl w:ilvl="7" w:tplc="FFFFFFFF" w:tentative="1">
      <w:start w:val="1"/>
      <w:numFmt w:val="lowerLetter"/>
      <w:lvlText w:val="%8."/>
      <w:lvlJc w:val="left"/>
      <w:pPr>
        <w:ind w:left="5786" w:hanging="360"/>
      </w:pPr>
    </w:lvl>
    <w:lvl w:ilvl="8" w:tplc="FFFFFFFF" w:tentative="1">
      <w:start w:val="1"/>
      <w:numFmt w:val="lowerRoman"/>
      <w:lvlText w:val="%9."/>
      <w:lvlJc w:val="right"/>
      <w:pPr>
        <w:ind w:left="6506" w:hanging="180"/>
      </w:pPr>
    </w:lvl>
  </w:abstractNum>
  <w:abstractNum w:abstractNumId="17" w15:restartNumberingAfterBreak="0">
    <w:nsid w:val="51FA1D53"/>
    <w:multiLevelType w:val="hybridMultilevel"/>
    <w:tmpl w:val="690A1810"/>
    <w:lvl w:ilvl="0" w:tplc="7D742D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51F18"/>
    <w:multiLevelType w:val="hybridMultilevel"/>
    <w:tmpl w:val="142C4A0A"/>
    <w:lvl w:ilvl="0" w:tplc="76784FD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94513C"/>
    <w:multiLevelType w:val="hybridMultilevel"/>
    <w:tmpl w:val="4D8C58F6"/>
    <w:lvl w:ilvl="0" w:tplc="10DC2F5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42AD"/>
    <w:multiLevelType w:val="hybridMultilevel"/>
    <w:tmpl w:val="E9761A90"/>
    <w:lvl w:ilvl="0" w:tplc="452C3AF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1746311"/>
    <w:multiLevelType w:val="hybridMultilevel"/>
    <w:tmpl w:val="A8403EAC"/>
    <w:lvl w:ilvl="0" w:tplc="73A88C1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858A3"/>
    <w:multiLevelType w:val="hybridMultilevel"/>
    <w:tmpl w:val="78A85D90"/>
    <w:lvl w:ilvl="0" w:tplc="B9BAC0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30A72"/>
    <w:multiLevelType w:val="hybridMultilevel"/>
    <w:tmpl w:val="AB208538"/>
    <w:lvl w:ilvl="0" w:tplc="126403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864FE"/>
    <w:multiLevelType w:val="hybridMultilevel"/>
    <w:tmpl w:val="408831C2"/>
    <w:lvl w:ilvl="0" w:tplc="4308DED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24583"/>
    <w:multiLevelType w:val="hybridMultilevel"/>
    <w:tmpl w:val="4792395E"/>
    <w:lvl w:ilvl="0" w:tplc="E610AF6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E5AB3"/>
    <w:multiLevelType w:val="hybridMultilevel"/>
    <w:tmpl w:val="3E466F30"/>
    <w:lvl w:ilvl="0" w:tplc="7EC0285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A029B"/>
    <w:multiLevelType w:val="hybridMultilevel"/>
    <w:tmpl w:val="4C8E44FC"/>
    <w:lvl w:ilvl="0" w:tplc="1EF04AD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034AE"/>
    <w:multiLevelType w:val="hybridMultilevel"/>
    <w:tmpl w:val="A18AB7E4"/>
    <w:lvl w:ilvl="0" w:tplc="D66ED7D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C544D"/>
    <w:multiLevelType w:val="hybridMultilevel"/>
    <w:tmpl w:val="BEDC7016"/>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ED3715"/>
    <w:multiLevelType w:val="hybridMultilevel"/>
    <w:tmpl w:val="986AB412"/>
    <w:lvl w:ilvl="0" w:tplc="124E933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0"/>
  </w:num>
  <w:num w:numId="5">
    <w:abstractNumId w:val="8"/>
  </w:num>
  <w:num w:numId="6">
    <w:abstractNumId w:val="6"/>
  </w:num>
  <w:num w:numId="7">
    <w:abstractNumId w:val="24"/>
  </w:num>
  <w:num w:numId="8">
    <w:abstractNumId w:val="32"/>
  </w:num>
  <w:num w:numId="9">
    <w:abstractNumId w:val="5"/>
  </w:num>
  <w:num w:numId="10">
    <w:abstractNumId w:val="0"/>
  </w:num>
  <w:num w:numId="11">
    <w:abstractNumId w:val="28"/>
  </w:num>
  <w:num w:numId="12">
    <w:abstractNumId w:val="14"/>
  </w:num>
  <w:num w:numId="13">
    <w:abstractNumId w:val="9"/>
  </w:num>
  <w:num w:numId="14">
    <w:abstractNumId w:val="17"/>
  </w:num>
  <w:num w:numId="15">
    <w:abstractNumId w:val="12"/>
  </w:num>
  <w:num w:numId="16">
    <w:abstractNumId w:val="2"/>
  </w:num>
  <w:num w:numId="17">
    <w:abstractNumId w:val="18"/>
  </w:num>
  <w:num w:numId="18">
    <w:abstractNumId w:val="20"/>
  </w:num>
  <w:num w:numId="19">
    <w:abstractNumId w:val="4"/>
  </w:num>
  <w:num w:numId="20">
    <w:abstractNumId w:val="25"/>
  </w:num>
  <w:num w:numId="21">
    <w:abstractNumId w:val="15"/>
  </w:num>
  <w:num w:numId="22">
    <w:abstractNumId w:val="10"/>
  </w:num>
  <w:num w:numId="23">
    <w:abstractNumId w:val="26"/>
  </w:num>
  <w:num w:numId="24">
    <w:abstractNumId w:val="29"/>
  </w:num>
  <w:num w:numId="25">
    <w:abstractNumId w:val="13"/>
  </w:num>
  <w:num w:numId="26">
    <w:abstractNumId w:val="7"/>
  </w:num>
  <w:num w:numId="27">
    <w:abstractNumId w:val="21"/>
  </w:num>
  <w:num w:numId="28">
    <w:abstractNumId w:val="3"/>
  </w:num>
  <w:num w:numId="29">
    <w:abstractNumId w:val="1"/>
  </w:num>
  <w:num w:numId="30">
    <w:abstractNumId w:val="23"/>
  </w:num>
  <w:num w:numId="31">
    <w:abstractNumId w:val="27"/>
  </w:num>
  <w:num w:numId="32">
    <w:abstractNumId w:val="11"/>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BF"/>
    <w:rsid w:val="0004107C"/>
    <w:rsid w:val="000A71B4"/>
    <w:rsid w:val="000D11EA"/>
    <w:rsid w:val="00181857"/>
    <w:rsid w:val="001A2542"/>
    <w:rsid w:val="001A4BDA"/>
    <w:rsid w:val="001A707B"/>
    <w:rsid w:val="001C0ED7"/>
    <w:rsid w:val="002550F5"/>
    <w:rsid w:val="00262C00"/>
    <w:rsid w:val="002716E8"/>
    <w:rsid w:val="002934B2"/>
    <w:rsid w:val="002D42A0"/>
    <w:rsid w:val="002E55EF"/>
    <w:rsid w:val="003445B7"/>
    <w:rsid w:val="003534B0"/>
    <w:rsid w:val="00353C35"/>
    <w:rsid w:val="0037066F"/>
    <w:rsid w:val="00375E21"/>
    <w:rsid w:val="003A6453"/>
    <w:rsid w:val="003C57D7"/>
    <w:rsid w:val="003D730B"/>
    <w:rsid w:val="003E51E5"/>
    <w:rsid w:val="003E553B"/>
    <w:rsid w:val="004260B0"/>
    <w:rsid w:val="00493D34"/>
    <w:rsid w:val="004E6068"/>
    <w:rsid w:val="005B6A3B"/>
    <w:rsid w:val="005C3827"/>
    <w:rsid w:val="005D7241"/>
    <w:rsid w:val="0066602A"/>
    <w:rsid w:val="007206EC"/>
    <w:rsid w:val="00725080"/>
    <w:rsid w:val="00793AC6"/>
    <w:rsid w:val="00803612"/>
    <w:rsid w:val="00817293"/>
    <w:rsid w:val="008617BF"/>
    <w:rsid w:val="00865637"/>
    <w:rsid w:val="008D39FE"/>
    <w:rsid w:val="00A1765A"/>
    <w:rsid w:val="00A36D3D"/>
    <w:rsid w:val="00B03C0F"/>
    <w:rsid w:val="00B66BCE"/>
    <w:rsid w:val="00B7793C"/>
    <w:rsid w:val="00BB5940"/>
    <w:rsid w:val="00C66B15"/>
    <w:rsid w:val="00C8186B"/>
    <w:rsid w:val="00D804B8"/>
    <w:rsid w:val="00DA31BF"/>
    <w:rsid w:val="00DC7973"/>
    <w:rsid w:val="00DE429D"/>
    <w:rsid w:val="00E24AF2"/>
    <w:rsid w:val="00E51F8A"/>
    <w:rsid w:val="00EA0CC8"/>
    <w:rsid w:val="00EA3833"/>
    <w:rsid w:val="00EF7BAA"/>
    <w:rsid w:val="00F10D0E"/>
    <w:rsid w:val="00F44C09"/>
    <w:rsid w:val="00F73632"/>
    <w:rsid w:val="00F96101"/>
    <w:rsid w:val="00FB3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E986"/>
  <w15:chartTrackingRefBased/>
  <w15:docId w15:val="{14D93D3B-CB43-480D-9C48-2A7716DE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bidi/>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1BF"/>
    <w:pPr>
      <w:widowControl w:val="0"/>
      <w:spacing w:after="0"/>
      <w:ind w:left="340"/>
      <w:contextualSpacing/>
    </w:pPr>
  </w:style>
  <w:style w:type="paragraph" w:styleId="1">
    <w:name w:val="heading 1"/>
    <w:basedOn w:val="a"/>
    <w:next w:val="a"/>
    <w:link w:val="10"/>
    <w:uiPriority w:val="9"/>
    <w:qFormat/>
    <w:rsid w:val="00DA31BF"/>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DA31BF"/>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DA31BF"/>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DA31BF"/>
    <w:pPr>
      <w:numPr>
        <w:numId w:val="2"/>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DA31BF"/>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A31BF"/>
    <w:rPr>
      <w:rFonts w:asciiTheme="majorHAnsi" w:eastAsiaTheme="majorEastAsia" w:hAnsiTheme="majorHAnsi"/>
      <w:bCs/>
      <w:sz w:val="32"/>
      <w:szCs w:val="36"/>
    </w:rPr>
  </w:style>
  <w:style w:type="character" w:customStyle="1" w:styleId="40">
    <w:name w:val="כותרת 4 תו"/>
    <w:basedOn w:val="a0"/>
    <w:link w:val="4"/>
    <w:uiPriority w:val="9"/>
    <w:rsid w:val="00DA31BF"/>
    <w:rPr>
      <w:b/>
      <w:bCs/>
      <w:color w:val="000000" w:themeColor="text1"/>
      <w:szCs w:val="28"/>
    </w:rPr>
  </w:style>
  <w:style w:type="paragraph" w:customStyle="1" w:styleId="TableText">
    <w:name w:val="Table Text"/>
    <w:basedOn w:val="a"/>
    <w:rsid w:val="00DA31BF"/>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DA31BF"/>
    <w:pPr>
      <w:outlineLvl w:val="2"/>
    </w:pPr>
  </w:style>
  <w:style w:type="paragraph" w:customStyle="1" w:styleId="TableBlock">
    <w:name w:val="Table Block"/>
    <w:basedOn w:val="TableText"/>
    <w:rsid w:val="00DA31BF"/>
    <w:pPr>
      <w:jc w:val="both"/>
    </w:pPr>
  </w:style>
  <w:style w:type="paragraph" w:customStyle="1" w:styleId="TableHead">
    <w:name w:val="Table Head"/>
    <w:basedOn w:val="TableText"/>
    <w:rsid w:val="00DA31BF"/>
    <w:pPr>
      <w:jc w:val="center"/>
      <w:outlineLvl w:val="1"/>
    </w:pPr>
    <w:rPr>
      <w:b/>
      <w:bCs/>
    </w:rPr>
  </w:style>
  <w:style w:type="paragraph" w:customStyle="1" w:styleId="HeadMitparsemetBaze">
    <w:name w:val="Head MitparsemetBaze"/>
    <w:basedOn w:val="a"/>
    <w:rsid w:val="00DA31BF"/>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DA31BF"/>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DA31BF"/>
    <w:pPr>
      <w:tabs>
        <w:tab w:val="left" w:pos="680"/>
        <w:tab w:val="left" w:pos="1020"/>
      </w:tabs>
      <w:ind w:firstLine="0"/>
    </w:pPr>
  </w:style>
  <w:style w:type="paragraph" w:customStyle="1" w:styleId="HeadDivreiHesber">
    <w:name w:val="Head DivreiHesber"/>
    <w:basedOn w:val="a"/>
    <w:rsid w:val="00DA31BF"/>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DA31BF"/>
    <w:rPr>
      <w:rFonts w:asciiTheme="majorHAnsi" w:eastAsiaTheme="majorEastAsia" w:hAnsiTheme="majorHAnsi"/>
      <w:bCs/>
      <w:sz w:val="26"/>
      <w:szCs w:val="36"/>
      <w:u w:val="single"/>
    </w:rPr>
  </w:style>
  <w:style w:type="character" w:customStyle="1" w:styleId="30">
    <w:name w:val="כותרת 3 תו"/>
    <w:basedOn w:val="a0"/>
    <w:link w:val="3"/>
    <w:rsid w:val="00DA31BF"/>
    <w:rPr>
      <w:rFonts w:asciiTheme="majorHAnsi" w:eastAsiaTheme="majorEastAsia" w:hAnsiTheme="majorHAnsi"/>
      <w:szCs w:val="28"/>
      <w:u w:val="double"/>
    </w:rPr>
  </w:style>
  <w:style w:type="character" w:customStyle="1" w:styleId="50">
    <w:name w:val="כותרת 5 תו"/>
    <w:basedOn w:val="a0"/>
    <w:link w:val="5"/>
    <w:uiPriority w:val="9"/>
    <w:rsid w:val="00DA31BF"/>
    <w:rPr>
      <w:color w:val="000000" w:themeColor="text1"/>
    </w:rPr>
  </w:style>
  <w:style w:type="paragraph" w:customStyle="1" w:styleId="HeadHatzaotHok4Futer">
    <w:name w:val="Head HatzaotHok4Futer"/>
    <w:basedOn w:val="HeadHatzaotHok"/>
    <w:rsid w:val="00DA31BF"/>
    <w:pPr>
      <w:spacing w:before="120" w:after="120"/>
    </w:pPr>
    <w:rPr>
      <w:color w:val="FF0000"/>
      <w:w w:val="80"/>
    </w:rPr>
  </w:style>
  <w:style w:type="paragraph" w:styleId="a3">
    <w:name w:val="endnote text"/>
    <w:basedOn w:val="a"/>
    <w:link w:val="a4"/>
    <w:semiHidden/>
    <w:rsid w:val="00DA31BF"/>
    <w:pPr>
      <w:ind w:left="227" w:hanging="227"/>
    </w:pPr>
    <w:rPr>
      <w:sz w:val="14"/>
      <w:szCs w:val="22"/>
    </w:rPr>
  </w:style>
  <w:style w:type="character" w:customStyle="1" w:styleId="a4">
    <w:name w:val="טקסט הערת סיום תו"/>
    <w:basedOn w:val="a0"/>
    <w:link w:val="a3"/>
    <w:semiHidden/>
    <w:rsid w:val="00DA31BF"/>
    <w:rPr>
      <w:sz w:val="14"/>
      <w:szCs w:val="22"/>
    </w:rPr>
  </w:style>
  <w:style w:type="paragraph" w:customStyle="1" w:styleId="TableInnerSideHeading">
    <w:name w:val="Table InnerSideHeading"/>
    <w:basedOn w:val="TableSideHeading"/>
    <w:rsid w:val="00DA31BF"/>
    <w:pPr>
      <w:outlineLvl w:val="9"/>
    </w:pPr>
  </w:style>
  <w:style w:type="paragraph" w:customStyle="1" w:styleId="Hesber">
    <w:name w:val="Hesber"/>
    <w:basedOn w:val="a"/>
    <w:rsid w:val="00DA31BF"/>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DA31B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DA31BF"/>
    <w:rPr>
      <w:rFonts w:ascii="Arial" w:eastAsia="Arial Unicode MS" w:hAnsi="Arial"/>
      <w:snapToGrid w:val="0"/>
      <w:sz w:val="14"/>
      <w:szCs w:val="20"/>
    </w:rPr>
  </w:style>
  <w:style w:type="character" w:styleId="a7">
    <w:name w:val="footnote reference"/>
    <w:aliases w:val="Footnote Reference"/>
    <w:basedOn w:val="a0"/>
    <w:semiHidden/>
    <w:rsid w:val="00DA31BF"/>
    <w:rPr>
      <w:vertAlign w:val="superscript"/>
    </w:rPr>
  </w:style>
  <w:style w:type="paragraph" w:customStyle="1" w:styleId="HesberHeading">
    <w:name w:val="Hesber Heading"/>
    <w:basedOn w:val="Hesber"/>
    <w:rsid w:val="00DA31BF"/>
    <w:pPr>
      <w:tabs>
        <w:tab w:val="left" w:pos="624"/>
        <w:tab w:val="left" w:pos="1247"/>
      </w:tabs>
    </w:pPr>
    <w:rPr>
      <w:b/>
      <w:bCs/>
    </w:rPr>
  </w:style>
  <w:style w:type="paragraph" w:customStyle="1" w:styleId="HesberWriters">
    <w:name w:val="Hesber Writers"/>
    <w:basedOn w:val="Hesber"/>
    <w:rsid w:val="00DA31BF"/>
    <w:pPr>
      <w:spacing w:before="120" w:after="120"/>
      <w:ind w:left="1418"/>
      <w:jc w:val="right"/>
    </w:pPr>
    <w:rPr>
      <w:b/>
      <w:bCs/>
    </w:rPr>
  </w:style>
  <w:style w:type="character" w:styleId="a8">
    <w:name w:val="endnote reference"/>
    <w:basedOn w:val="a0"/>
    <w:semiHidden/>
    <w:rsid w:val="00DA31BF"/>
    <w:rPr>
      <w:vertAlign w:val="superscript"/>
    </w:rPr>
  </w:style>
  <w:style w:type="paragraph" w:customStyle="1" w:styleId="TableBlockOutdent">
    <w:name w:val="Table BlockOutdent"/>
    <w:basedOn w:val="TableBlock"/>
    <w:rsid w:val="00DA31BF"/>
    <w:pPr>
      <w:ind w:left="624" w:hanging="624"/>
    </w:pPr>
  </w:style>
  <w:style w:type="paragraph" w:styleId="a9">
    <w:name w:val="header"/>
    <w:basedOn w:val="a"/>
    <w:link w:val="aa"/>
    <w:rsid w:val="00DA31BF"/>
    <w:pPr>
      <w:tabs>
        <w:tab w:val="center" w:pos="4153"/>
        <w:tab w:val="right" w:pos="8306"/>
      </w:tabs>
    </w:pPr>
  </w:style>
  <w:style w:type="character" w:customStyle="1" w:styleId="aa">
    <w:name w:val="כותרת עליונה תו"/>
    <w:basedOn w:val="a0"/>
    <w:link w:val="a9"/>
    <w:rsid w:val="00DA31BF"/>
  </w:style>
  <w:style w:type="paragraph" w:styleId="ab">
    <w:name w:val="footer"/>
    <w:basedOn w:val="a"/>
    <w:link w:val="ac"/>
    <w:rsid w:val="00DA31BF"/>
    <w:pPr>
      <w:tabs>
        <w:tab w:val="center" w:pos="4153"/>
        <w:tab w:val="right" w:pos="8306"/>
      </w:tabs>
    </w:pPr>
  </w:style>
  <w:style w:type="character" w:customStyle="1" w:styleId="ac">
    <w:name w:val="כותרת תחתונה תו"/>
    <w:basedOn w:val="a0"/>
    <w:link w:val="ab"/>
    <w:rsid w:val="00DA31BF"/>
  </w:style>
  <w:style w:type="character" w:styleId="ad">
    <w:name w:val="page number"/>
    <w:basedOn w:val="a0"/>
    <w:rsid w:val="00DA31BF"/>
  </w:style>
  <w:style w:type="paragraph" w:customStyle="1" w:styleId="Cover1-Reshumot">
    <w:name w:val="Cover 1-Reshumot"/>
    <w:basedOn w:val="a"/>
    <w:rsid w:val="00DA31BF"/>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DA31BF"/>
    <w:rPr>
      <w:sz w:val="36"/>
      <w:szCs w:val="52"/>
    </w:rPr>
  </w:style>
  <w:style w:type="paragraph" w:customStyle="1" w:styleId="Cover3-Haknesset">
    <w:name w:val="Cover 3-Haknesset"/>
    <w:basedOn w:val="Cover1-Reshumot"/>
    <w:rsid w:val="00DA31BF"/>
    <w:rPr>
      <w:b/>
      <w:bCs/>
      <w:spacing w:val="60"/>
    </w:rPr>
  </w:style>
  <w:style w:type="paragraph" w:customStyle="1" w:styleId="Cover4-Date">
    <w:name w:val="Cover 4-Date"/>
    <w:basedOn w:val="a"/>
    <w:rsid w:val="00DA31BF"/>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DA31BF"/>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DA31BF"/>
    <w:pPr>
      <w:widowControl/>
      <w:spacing w:before="120" w:after="120"/>
      <w:outlineLvl w:val="9"/>
    </w:pPr>
    <w:rPr>
      <w:rtl/>
      <w:cs/>
    </w:rPr>
  </w:style>
  <w:style w:type="paragraph" w:styleId="TOC1">
    <w:name w:val="toc 1"/>
    <w:basedOn w:val="a"/>
    <w:next w:val="a"/>
    <w:autoRedefine/>
    <w:uiPriority w:val="39"/>
    <w:unhideWhenUsed/>
    <w:rsid w:val="00DA31BF"/>
    <w:pPr>
      <w:tabs>
        <w:tab w:val="right" w:leader="dot" w:pos="9629"/>
      </w:tabs>
      <w:spacing w:after="100"/>
    </w:pPr>
    <w:rPr>
      <w:bCs/>
      <w:szCs w:val="22"/>
    </w:rPr>
  </w:style>
  <w:style w:type="paragraph" w:styleId="TOC2">
    <w:name w:val="toc 2"/>
    <w:basedOn w:val="a"/>
    <w:next w:val="a"/>
    <w:uiPriority w:val="39"/>
    <w:unhideWhenUsed/>
    <w:rsid w:val="00DA31BF"/>
    <w:pPr>
      <w:tabs>
        <w:tab w:val="right" w:leader="dot" w:pos="9628"/>
      </w:tabs>
      <w:spacing w:after="100"/>
    </w:pPr>
    <w:rPr>
      <w:szCs w:val="22"/>
    </w:rPr>
  </w:style>
  <w:style w:type="character" w:styleId="Hyperlink">
    <w:name w:val="Hyperlink"/>
    <w:basedOn w:val="a0"/>
    <w:uiPriority w:val="99"/>
    <w:unhideWhenUsed/>
    <w:rsid w:val="00DA31BF"/>
    <w:rPr>
      <w:color w:val="0563C1" w:themeColor="hyperlink"/>
      <w:u w:val="single"/>
    </w:rPr>
  </w:style>
  <w:style w:type="paragraph" w:styleId="TOC3">
    <w:name w:val="toc 3"/>
    <w:basedOn w:val="a"/>
    <w:next w:val="a"/>
    <w:uiPriority w:val="39"/>
    <w:unhideWhenUsed/>
    <w:rsid w:val="00DA31BF"/>
    <w:pPr>
      <w:numPr>
        <w:numId w:val="3"/>
      </w:numPr>
      <w:tabs>
        <w:tab w:val="right" w:leader="dot" w:pos="9629"/>
      </w:tabs>
      <w:spacing w:after="100"/>
      <w:ind w:left="811" w:hanging="357"/>
    </w:pPr>
    <w:rPr>
      <w:szCs w:val="22"/>
    </w:rPr>
  </w:style>
  <w:style w:type="paragraph" w:styleId="TOC4">
    <w:name w:val="toc 4"/>
    <w:basedOn w:val="a"/>
    <w:next w:val="a"/>
    <w:autoRedefine/>
    <w:unhideWhenUsed/>
    <w:qFormat/>
    <w:rsid w:val="00DA31BF"/>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DA31BF"/>
    <w:pPr>
      <w:tabs>
        <w:tab w:val="right" w:leader="dot" w:pos="9628"/>
      </w:tabs>
      <w:spacing w:after="100"/>
      <w:ind w:left="567"/>
    </w:pPr>
    <w:rPr>
      <w:szCs w:val="22"/>
    </w:rPr>
  </w:style>
  <w:style w:type="paragraph" w:styleId="TOC6">
    <w:name w:val="toc 6"/>
    <w:basedOn w:val="a"/>
    <w:next w:val="a"/>
    <w:autoRedefine/>
    <w:semiHidden/>
    <w:unhideWhenUsed/>
    <w:rsid w:val="00DA31BF"/>
    <w:pPr>
      <w:spacing w:after="100"/>
      <w:ind w:left="850"/>
    </w:pPr>
  </w:style>
  <w:style w:type="paragraph" w:styleId="TOC7">
    <w:name w:val="toc 7"/>
    <w:basedOn w:val="a"/>
    <w:next w:val="a"/>
    <w:autoRedefine/>
    <w:semiHidden/>
    <w:unhideWhenUsed/>
    <w:rsid w:val="00DA31BF"/>
    <w:pPr>
      <w:spacing w:after="100"/>
      <w:ind w:left="1020"/>
    </w:pPr>
  </w:style>
  <w:style w:type="paragraph" w:styleId="TOC8">
    <w:name w:val="toc 8"/>
    <w:basedOn w:val="a"/>
    <w:next w:val="a"/>
    <w:autoRedefine/>
    <w:semiHidden/>
    <w:unhideWhenUsed/>
    <w:rsid w:val="00DA31BF"/>
    <w:pPr>
      <w:spacing w:after="100"/>
      <w:ind w:left="1190"/>
    </w:pPr>
  </w:style>
  <w:style w:type="paragraph" w:styleId="TOC9">
    <w:name w:val="toc 9"/>
    <w:basedOn w:val="a"/>
    <w:next w:val="a"/>
    <w:autoRedefine/>
    <w:semiHidden/>
    <w:unhideWhenUsed/>
    <w:rsid w:val="00DA31BF"/>
    <w:pPr>
      <w:spacing w:after="100"/>
      <w:ind w:left="1360"/>
    </w:pPr>
  </w:style>
  <w:style w:type="paragraph" w:customStyle="1" w:styleId="TableHead2">
    <w:name w:val="Table Head2"/>
    <w:basedOn w:val="TableHead"/>
    <w:qFormat/>
    <w:rsid w:val="00DA31BF"/>
    <w:pPr>
      <w:outlineLvl w:val="9"/>
    </w:pPr>
  </w:style>
  <w:style w:type="paragraph" w:customStyle="1" w:styleId="TableSideHeading2">
    <w:name w:val="Table SideHeading2"/>
    <w:basedOn w:val="TableSideHeading"/>
    <w:autoRedefine/>
    <w:qFormat/>
    <w:rsid w:val="00DA31BF"/>
    <w:pPr>
      <w:keepLines w:val="0"/>
      <w:outlineLvl w:val="9"/>
    </w:pPr>
  </w:style>
  <w:style w:type="paragraph" w:customStyle="1" w:styleId="0">
    <w:name w:val="סגנון שורה ראשונה:  0  ס''מ"/>
    <w:basedOn w:val="2"/>
    <w:rsid w:val="00DA31BF"/>
    <w:rPr>
      <w:rFonts w:eastAsia="Times New Roman"/>
    </w:rPr>
  </w:style>
  <w:style w:type="paragraph" w:styleId="af">
    <w:name w:val="List Paragraph"/>
    <w:basedOn w:val="a"/>
    <w:uiPriority w:val="34"/>
    <w:qFormat/>
    <w:rsid w:val="00DA31BF"/>
    <w:pPr>
      <w:widowControl/>
      <w:spacing w:line="259" w:lineRule="auto"/>
    </w:pPr>
    <w:rPr>
      <w:rFonts w:asciiTheme="minorHAnsi" w:hAnsiTheme="minorHAnsi"/>
      <w:sz w:val="22"/>
    </w:rPr>
  </w:style>
  <w:style w:type="table" w:styleId="af0">
    <w:name w:val="Table Grid"/>
    <w:basedOn w:val="a1"/>
    <w:rsid w:val="00DA31BF"/>
    <w:pPr>
      <w:bidi w:val="0"/>
      <w:spacing w:after="0" w:line="240" w:lineRule="auto"/>
      <w:jc w:val="lef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DA31BF"/>
    <w:pPr>
      <w:bidi w:val="0"/>
      <w:spacing w:after="0" w:line="240" w:lineRule="auto"/>
      <w:jc w:val="left"/>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DA31BF"/>
    <w:pPr>
      <w:bidi w:val="0"/>
      <w:spacing w:after="0" w:line="240" w:lineRule="auto"/>
      <w:jc w:val="left"/>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DA31BF"/>
    <w:pPr>
      <w:bidi w:val="0"/>
      <w:spacing w:after="0" w:line="240" w:lineRule="auto"/>
      <w:jc w:val="center"/>
    </w:pPr>
    <w:rPr>
      <w:rFonts w:ascii="Times New Roman" w:eastAsia="MS Mincho" w:hAnsi="Times New Roman" w:cstheme="minorBidi"/>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DA31BF"/>
    <w:pPr>
      <w:bidi w:val="0"/>
      <w:spacing w:after="0" w:line="240" w:lineRule="auto"/>
      <w:jc w:val="left"/>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9254</Words>
  <Characters>46271</Characters>
  <Application>Microsoft Office Word</Application>
  <DocSecurity>4</DocSecurity>
  <Lines>385</Lines>
  <Paragraphs>110</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Osnat Harel weinstein</dc:creator>
  <cp:keywords/>
  <dc:description/>
  <cp:lastModifiedBy>לימור יקיר</cp:lastModifiedBy>
  <cp:revision>2</cp:revision>
  <dcterms:created xsi:type="dcterms:W3CDTF">2023-12-11T13:41:00Z</dcterms:created>
  <dcterms:modified xsi:type="dcterms:W3CDTF">2023-12-11T13:41:00Z</dcterms:modified>
</cp:coreProperties>
</file>