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2E24" w14:textId="702E707B" w:rsidR="004C0539" w:rsidRDefault="004C0539" w:rsidP="00545F22">
      <w:pPr>
        <w:pStyle w:val="NormalWeb"/>
        <w:bidi/>
        <w:rPr>
          <w:color w:val="000000"/>
          <w:sz w:val="27"/>
          <w:szCs w:val="27"/>
          <w:rtl/>
        </w:rPr>
      </w:pPr>
      <w:r>
        <w:rPr>
          <w:rFonts w:hint="cs"/>
          <w:color w:val="000000"/>
          <w:sz w:val="27"/>
          <w:szCs w:val="27"/>
          <w:rtl/>
        </w:rPr>
        <w:t>ז' שבט תשפ"ד</w:t>
      </w:r>
    </w:p>
    <w:p w14:paraId="0BC36B6C" w14:textId="6DD75A2C" w:rsidR="004C0539" w:rsidRDefault="004C0539" w:rsidP="004C0539">
      <w:pPr>
        <w:pStyle w:val="NormalWeb"/>
        <w:bidi/>
        <w:rPr>
          <w:color w:val="000000"/>
          <w:sz w:val="27"/>
          <w:szCs w:val="27"/>
          <w:rtl/>
        </w:rPr>
      </w:pPr>
      <w:r>
        <w:rPr>
          <w:rFonts w:hint="cs"/>
          <w:color w:val="000000"/>
          <w:sz w:val="27"/>
          <w:szCs w:val="27"/>
          <w:rtl/>
        </w:rPr>
        <w:t>17-1-2024</w:t>
      </w:r>
    </w:p>
    <w:p w14:paraId="76A3EE85" w14:textId="77777777" w:rsidR="004C0539" w:rsidRDefault="004C0539" w:rsidP="004C0539">
      <w:pPr>
        <w:pStyle w:val="NormalWeb"/>
        <w:bidi/>
        <w:rPr>
          <w:color w:val="000000"/>
          <w:sz w:val="27"/>
          <w:szCs w:val="27"/>
          <w:rtl/>
        </w:rPr>
      </w:pPr>
    </w:p>
    <w:p w14:paraId="1CEF00EC" w14:textId="7805192E" w:rsidR="00545F22" w:rsidRDefault="00545F22" w:rsidP="004C0539">
      <w:pPr>
        <w:pStyle w:val="NormalWeb"/>
        <w:bidi/>
        <w:rPr>
          <w:color w:val="000000"/>
          <w:sz w:val="27"/>
          <w:szCs w:val="27"/>
        </w:rPr>
      </w:pPr>
      <w:r>
        <w:rPr>
          <w:rFonts w:hint="cs"/>
          <w:color w:val="000000"/>
          <w:sz w:val="27"/>
          <w:szCs w:val="27"/>
          <w:rtl/>
        </w:rPr>
        <w:t>לכבוד</w:t>
      </w:r>
    </w:p>
    <w:p w14:paraId="18031269" w14:textId="79AB3B33" w:rsidR="00545F22" w:rsidRDefault="00545F22" w:rsidP="00545F22">
      <w:pPr>
        <w:pStyle w:val="NormalWeb"/>
        <w:bidi/>
        <w:rPr>
          <w:color w:val="000000"/>
          <w:sz w:val="27"/>
          <w:szCs w:val="27"/>
          <w:rtl/>
        </w:rPr>
      </w:pPr>
      <w:r>
        <w:rPr>
          <w:rFonts w:hint="cs"/>
          <w:color w:val="000000"/>
          <w:sz w:val="27"/>
          <w:szCs w:val="27"/>
          <w:rtl/>
        </w:rPr>
        <w:t>משרד ראש הממשלה</w:t>
      </w:r>
    </w:p>
    <w:p w14:paraId="1F4EAB02" w14:textId="77777777" w:rsidR="004C0539" w:rsidRDefault="004C0539" w:rsidP="004C0539">
      <w:pPr>
        <w:pStyle w:val="NormalWeb"/>
        <w:bidi/>
        <w:rPr>
          <w:color w:val="000000"/>
          <w:sz w:val="27"/>
          <w:szCs w:val="27"/>
          <w:rtl/>
        </w:rPr>
      </w:pPr>
      <w:r>
        <w:rPr>
          <w:rFonts w:hint="cs"/>
          <w:color w:val="000000"/>
          <w:sz w:val="27"/>
          <w:szCs w:val="27"/>
          <w:rtl/>
        </w:rPr>
        <w:t xml:space="preserve">לידי היועצת המשפטית גב' </w:t>
      </w:r>
      <w:r w:rsidRPr="004C0539">
        <w:rPr>
          <w:color w:val="000000"/>
          <w:sz w:val="27"/>
          <w:szCs w:val="27"/>
          <w:rtl/>
        </w:rPr>
        <w:t>שלומית ברנע פרגו</w:t>
      </w:r>
    </w:p>
    <w:p w14:paraId="7AFA2D07" w14:textId="17CDEA33" w:rsidR="004C0539" w:rsidRDefault="004C0539" w:rsidP="004C0539">
      <w:pPr>
        <w:pStyle w:val="NormalWeb"/>
        <w:bidi/>
        <w:rPr>
          <w:color w:val="000000"/>
          <w:sz w:val="27"/>
          <w:szCs w:val="27"/>
        </w:rPr>
      </w:pPr>
      <w:r>
        <w:rPr>
          <w:rFonts w:hint="cs"/>
          <w:color w:val="000000"/>
          <w:sz w:val="27"/>
          <w:szCs w:val="27"/>
          <w:rtl/>
        </w:rPr>
        <w:t xml:space="preserve">למייל:  </w:t>
      </w:r>
      <w:hyperlink r:id="rId4" w:history="1">
        <w:r w:rsidRPr="009D592A">
          <w:rPr>
            <w:rStyle w:val="Hyperlink"/>
            <w:sz w:val="27"/>
            <w:szCs w:val="27"/>
          </w:rPr>
          <w:t>mishpatit@pmo.gov.il</w:t>
        </w:r>
      </w:hyperlink>
    </w:p>
    <w:p w14:paraId="75E7625F" w14:textId="342B44C6" w:rsidR="004C0539" w:rsidRDefault="004C0539" w:rsidP="004C0539">
      <w:pPr>
        <w:pStyle w:val="NormalWeb"/>
        <w:bidi/>
        <w:rPr>
          <w:color w:val="000000"/>
          <w:sz w:val="27"/>
          <w:szCs w:val="27"/>
        </w:rPr>
      </w:pPr>
      <w:r>
        <w:rPr>
          <w:rFonts w:ascii="Arial" w:hAnsi="Arial" w:cs="Arial"/>
          <w:color w:val="202122"/>
          <w:sz w:val="21"/>
          <w:szCs w:val="21"/>
          <w:shd w:val="clear" w:color="auto" w:fill="FFFFFF"/>
          <w:rtl/>
        </w:rPr>
        <w:t> </w:t>
      </w:r>
    </w:p>
    <w:p w14:paraId="48E61438" w14:textId="77777777" w:rsidR="00545F22" w:rsidRPr="00D9765F" w:rsidRDefault="00545F22" w:rsidP="00545F22">
      <w:pPr>
        <w:pStyle w:val="NormalWeb"/>
        <w:bidi/>
        <w:rPr>
          <w:color w:val="000000"/>
          <w:sz w:val="27"/>
          <w:szCs w:val="27"/>
          <w:u w:val="single"/>
        </w:rPr>
      </w:pPr>
      <w:r>
        <w:rPr>
          <w:rFonts w:hint="cs"/>
          <w:color w:val="000000"/>
          <w:sz w:val="27"/>
          <w:szCs w:val="27"/>
          <w:rtl/>
        </w:rPr>
        <w:t xml:space="preserve">הנדון: </w:t>
      </w:r>
      <w:r w:rsidRPr="00D9765F">
        <w:rPr>
          <w:rFonts w:hint="cs"/>
          <w:color w:val="000000"/>
          <w:sz w:val="27"/>
          <w:szCs w:val="27"/>
          <w:u w:val="single"/>
          <w:rtl/>
        </w:rPr>
        <w:t>הערות מועצת העיתונות והתקשורת בישראל</w:t>
      </w:r>
      <w:r w:rsidRPr="00D9765F">
        <w:rPr>
          <w:u w:val="single"/>
          <w:rtl/>
        </w:rPr>
        <w:t xml:space="preserve"> </w:t>
      </w:r>
      <w:r w:rsidRPr="00A14498">
        <w:rPr>
          <w:color w:val="000000"/>
          <w:sz w:val="27"/>
          <w:szCs w:val="27"/>
          <w:u w:val="single"/>
          <w:rtl/>
        </w:rPr>
        <w:t>לתזכיר חוק שירות הביטחון הכללי (תיקון מס'...), התשפ"ד-2023</w:t>
      </w:r>
    </w:p>
    <w:p w14:paraId="20FC48F2" w14:textId="77777777" w:rsidR="004C0539" w:rsidRDefault="004C0539" w:rsidP="00545F22">
      <w:pPr>
        <w:pStyle w:val="NormalWeb"/>
        <w:bidi/>
        <w:spacing w:line="360" w:lineRule="auto"/>
        <w:jc w:val="both"/>
        <w:rPr>
          <w:color w:val="000000"/>
          <w:sz w:val="27"/>
          <w:szCs w:val="27"/>
        </w:rPr>
      </w:pPr>
    </w:p>
    <w:p w14:paraId="3DA28C86" w14:textId="1449FE4D" w:rsidR="00545F22" w:rsidRPr="00EC3FFB" w:rsidRDefault="00545F22" w:rsidP="004C0539">
      <w:pPr>
        <w:pStyle w:val="NormalWeb"/>
        <w:bidi/>
        <w:spacing w:line="360" w:lineRule="auto"/>
        <w:jc w:val="both"/>
        <w:rPr>
          <w:color w:val="000000"/>
          <w:sz w:val="27"/>
          <w:szCs w:val="27"/>
        </w:rPr>
      </w:pPr>
      <w:r>
        <w:rPr>
          <w:rFonts w:hint="cs"/>
          <w:color w:val="000000"/>
          <w:sz w:val="27"/>
          <w:szCs w:val="27"/>
          <w:rtl/>
        </w:rPr>
        <w:t>מועצת העיתונות והתקשורת בישראל</w:t>
      </w:r>
      <w:r w:rsidRPr="00EC3FFB">
        <w:rPr>
          <w:color w:val="000000"/>
          <w:sz w:val="27"/>
          <w:szCs w:val="27"/>
          <w:rtl/>
        </w:rPr>
        <w:t xml:space="preserve"> מביעה דאגה </w:t>
      </w:r>
      <w:r w:rsidR="004C0539">
        <w:rPr>
          <w:rFonts w:hint="cs"/>
          <w:color w:val="000000"/>
          <w:sz w:val="27"/>
          <w:szCs w:val="27"/>
          <w:rtl/>
        </w:rPr>
        <w:t xml:space="preserve">עמוקה </w:t>
      </w:r>
      <w:r w:rsidRPr="00EC3FFB">
        <w:rPr>
          <w:color w:val="000000"/>
          <w:sz w:val="27"/>
          <w:szCs w:val="27"/>
          <w:rtl/>
        </w:rPr>
        <w:t xml:space="preserve">מהשלכות התזכיר על זכויות הפרט בדגש על </w:t>
      </w:r>
      <w:bookmarkStart w:id="0" w:name="_Hlk156371447"/>
      <w:r w:rsidR="00D9765F" w:rsidRPr="00EC3FFB">
        <w:rPr>
          <w:rFonts w:hint="cs"/>
          <w:color w:val="000000"/>
          <w:sz w:val="27"/>
          <w:szCs w:val="27"/>
          <w:rtl/>
        </w:rPr>
        <w:t xml:space="preserve">חופש התקשורת, זכות הציבור לקבל ולהעביר מידע </w:t>
      </w:r>
      <w:bookmarkEnd w:id="0"/>
      <w:r w:rsidR="00D9765F" w:rsidRPr="00EC3FFB">
        <w:rPr>
          <w:rFonts w:hint="cs"/>
          <w:color w:val="000000"/>
          <w:sz w:val="27"/>
          <w:szCs w:val="27"/>
          <w:rtl/>
        </w:rPr>
        <w:t>ו</w:t>
      </w:r>
      <w:r w:rsidRPr="00EC3FFB">
        <w:rPr>
          <w:color w:val="000000"/>
          <w:sz w:val="27"/>
          <w:szCs w:val="27"/>
          <w:rtl/>
        </w:rPr>
        <w:t>הזכות לפרטיות</w:t>
      </w:r>
      <w:r w:rsidR="00D9765F" w:rsidRPr="00EC3FFB">
        <w:rPr>
          <w:rFonts w:hint="cs"/>
          <w:color w:val="000000"/>
          <w:sz w:val="27"/>
          <w:szCs w:val="27"/>
        </w:rPr>
        <w:t xml:space="preserve"> </w:t>
      </w:r>
      <w:r w:rsidRPr="00EC3FFB">
        <w:rPr>
          <w:color w:val="000000"/>
          <w:sz w:val="27"/>
          <w:szCs w:val="27"/>
          <w:rtl/>
        </w:rPr>
        <w:t>.</w:t>
      </w:r>
      <w:r w:rsidR="00D9765F" w:rsidRPr="00EC3FFB">
        <w:rPr>
          <w:rFonts w:hint="cs"/>
          <w:color w:val="000000"/>
          <w:sz w:val="27"/>
          <w:szCs w:val="27"/>
        </w:rPr>
        <w:t xml:space="preserve"> </w:t>
      </w:r>
    </w:p>
    <w:p w14:paraId="1FF5C4E7" w14:textId="17378E40" w:rsidR="00545F22" w:rsidRDefault="00545F22" w:rsidP="00545F22">
      <w:pPr>
        <w:pStyle w:val="NormalWeb"/>
        <w:bidi/>
        <w:spacing w:line="360" w:lineRule="auto"/>
        <w:jc w:val="both"/>
        <w:rPr>
          <w:color w:val="000000"/>
          <w:sz w:val="27"/>
          <w:szCs w:val="27"/>
          <w:rtl/>
        </w:rPr>
      </w:pPr>
      <w:r>
        <w:rPr>
          <w:rFonts w:hint="cs"/>
          <w:color w:val="000000"/>
          <w:sz w:val="27"/>
          <w:szCs w:val="27"/>
          <w:rtl/>
        </w:rPr>
        <w:t xml:space="preserve">המועצה מעריכה את התפקיד החשוב שממלא שירות הביטחון הכללי בהגנה על בטחון המדינה ואזרחיה. המועצה תומכת בחקיקה שנועדה להסדיר את פעולותיו של השב"כ אך סבורה שנקודת האיזון בין צרכי הביטחון לבין זכויות האזרח לא נקבעה במקום הראוי ולמעשה מפקירה את זכויות הפרט ובעיקר </w:t>
      </w:r>
      <w:r w:rsidR="00EC3FFB">
        <w:rPr>
          <w:rFonts w:hint="cs"/>
          <w:color w:val="000000"/>
          <w:sz w:val="27"/>
          <w:szCs w:val="27"/>
          <w:rtl/>
        </w:rPr>
        <w:t xml:space="preserve">את </w:t>
      </w:r>
      <w:r w:rsidR="00EC3FFB" w:rsidRPr="00EC3FFB">
        <w:rPr>
          <w:rFonts w:hint="cs"/>
          <w:color w:val="000000"/>
          <w:sz w:val="27"/>
          <w:szCs w:val="27"/>
          <w:rtl/>
        </w:rPr>
        <w:t xml:space="preserve">חופש התקשורת, </w:t>
      </w:r>
      <w:r w:rsidR="00EC3FFB">
        <w:rPr>
          <w:rFonts w:hint="cs"/>
          <w:color w:val="000000"/>
          <w:sz w:val="27"/>
          <w:szCs w:val="27"/>
          <w:rtl/>
        </w:rPr>
        <w:t xml:space="preserve">את </w:t>
      </w:r>
      <w:r w:rsidR="00EC3FFB" w:rsidRPr="00EC3FFB">
        <w:rPr>
          <w:rFonts w:hint="cs"/>
          <w:color w:val="000000"/>
          <w:sz w:val="27"/>
          <w:szCs w:val="27"/>
          <w:rtl/>
        </w:rPr>
        <w:t xml:space="preserve">זכות הציבור לקבל ולהעביר מידע </w:t>
      </w:r>
      <w:r w:rsidR="00EC3FFB">
        <w:rPr>
          <w:rFonts w:hint="cs"/>
          <w:color w:val="000000"/>
          <w:sz w:val="27"/>
          <w:szCs w:val="27"/>
          <w:rtl/>
        </w:rPr>
        <w:t>ו</w:t>
      </w:r>
      <w:r>
        <w:rPr>
          <w:rFonts w:hint="cs"/>
          <w:color w:val="000000"/>
          <w:sz w:val="27"/>
          <w:szCs w:val="27"/>
          <w:rtl/>
        </w:rPr>
        <w:t xml:space="preserve">את זכותו לפרטיות. </w:t>
      </w:r>
      <w:r w:rsidR="00421B27">
        <w:rPr>
          <w:rFonts w:hint="cs"/>
          <w:color w:val="000000"/>
          <w:sz w:val="27"/>
          <w:szCs w:val="27"/>
          <w:rtl/>
        </w:rPr>
        <w:t xml:space="preserve">המועצה מודאגת הן מהיקף הסמכויות שניתנו לשב"כ והן מהיעדר פיקוח ראוי על השימוש בהן. </w:t>
      </w:r>
      <w:r>
        <w:rPr>
          <w:rFonts w:hint="cs"/>
          <w:color w:val="000000"/>
          <w:sz w:val="27"/>
          <w:szCs w:val="27"/>
          <w:rtl/>
        </w:rPr>
        <w:t>המועצה מודאגת במיוחד מן הסמכות שניתנת לשב"כ לעקוב אחרי אמונותיו של הפרט ו</w:t>
      </w:r>
      <w:r w:rsidR="00FC3D73">
        <w:rPr>
          <w:rFonts w:hint="cs"/>
          <w:color w:val="000000"/>
          <w:sz w:val="27"/>
          <w:szCs w:val="27"/>
          <w:rtl/>
        </w:rPr>
        <w:t xml:space="preserve">אחרי </w:t>
      </w:r>
      <w:r>
        <w:rPr>
          <w:rFonts w:hint="cs"/>
          <w:color w:val="000000"/>
          <w:sz w:val="27"/>
          <w:szCs w:val="27"/>
          <w:rtl/>
        </w:rPr>
        <w:t xml:space="preserve">האידיאולוגיה שלו </w:t>
      </w:r>
      <w:r w:rsidR="00FC3D73">
        <w:rPr>
          <w:rFonts w:hint="cs"/>
          <w:color w:val="000000"/>
          <w:sz w:val="27"/>
          <w:szCs w:val="27"/>
          <w:rtl/>
        </w:rPr>
        <w:t xml:space="preserve">וכל זאת </w:t>
      </w:r>
      <w:r>
        <w:rPr>
          <w:rFonts w:hint="cs"/>
          <w:color w:val="000000"/>
          <w:sz w:val="27"/>
          <w:szCs w:val="27"/>
          <w:rtl/>
        </w:rPr>
        <w:t xml:space="preserve">בתנאי סף מינימליים. ביותר מודאגת המועצה מן העובדה שסמכויות מרחיקות לכת אלה שהן חסרי תקדים במשפט הישראלי </w:t>
      </w:r>
      <w:r w:rsidR="00EC3FFB">
        <w:rPr>
          <w:rFonts w:hint="cs"/>
          <w:color w:val="000000"/>
          <w:sz w:val="27"/>
          <w:szCs w:val="27"/>
          <w:rtl/>
        </w:rPr>
        <w:t xml:space="preserve">ובכל מדינה דמוקרטית </w:t>
      </w:r>
      <w:r>
        <w:rPr>
          <w:rFonts w:hint="cs"/>
          <w:color w:val="000000"/>
          <w:sz w:val="27"/>
          <w:szCs w:val="27"/>
          <w:rtl/>
        </w:rPr>
        <w:t>נותרו ללא כל פיקוח מתאים. ה</w:t>
      </w:r>
      <w:r w:rsidR="00EC3FFB">
        <w:rPr>
          <w:rFonts w:hint="cs"/>
          <w:color w:val="000000"/>
          <w:sz w:val="27"/>
          <w:szCs w:val="27"/>
          <w:rtl/>
        </w:rPr>
        <w:t>"</w:t>
      </w:r>
      <w:r>
        <w:rPr>
          <w:rFonts w:hint="cs"/>
          <w:color w:val="000000"/>
          <w:sz w:val="27"/>
          <w:szCs w:val="27"/>
          <w:rtl/>
        </w:rPr>
        <w:t>פיקוח</w:t>
      </w:r>
      <w:r w:rsidR="00EC3FFB">
        <w:rPr>
          <w:rFonts w:hint="cs"/>
          <w:color w:val="000000"/>
          <w:sz w:val="27"/>
          <w:szCs w:val="27"/>
          <w:rtl/>
        </w:rPr>
        <w:t>"</w:t>
      </w:r>
      <w:r>
        <w:rPr>
          <w:rFonts w:hint="cs"/>
          <w:color w:val="000000"/>
          <w:sz w:val="27"/>
          <w:szCs w:val="27"/>
          <w:rtl/>
        </w:rPr>
        <w:t xml:space="preserve"> היחיד הוא של ראש הממשלה שהנו אישיות פוליטית שעלול לערב שיקולים פוליטיים ומפלגתיים במתן היתר לשב"כ לבלוש אחרי האזרחים באמצעים טכנולוגיים משוכללים מבלי שהאזרחים אף מודעים לעובדה שמידע שלהם נחשף. אין זה מתקבל על הדעת שסמכויות דרקוניות אלה תופעלנה ללא ביקורת שיפוטית. הדיווח בדיעבד</w:t>
      </w:r>
      <w:r w:rsidR="00EC3FFB">
        <w:rPr>
          <w:rFonts w:hint="cs"/>
          <w:color w:val="000000"/>
          <w:sz w:val="27"/>
          <w:szCs w:val="27"/>
          <w:rtl/>
        </w:rPr>
        <w:t xml:space="preserve"> </w:t>
      </w:r>
      <w:r>
        <w:rPr>
          <w:rFonts w:hint="cs"/>
          <w:color w:val="000000"/>
          <w:sz w:val="27"/>
          <w:szCs w:val="27"/>
          <w:rtl/>
        </w:rPr>
        <w:t xml:space="preserve">לכנסת, שהנה גם כן גוף פוליטי, </w:t>
      </w:r>
      <w:r>
        <w:rPr>
          <w:rFonts w:hint="cs"/>
          <w:color w:val="000000"/>
          <w:sz w:val="27"/>
          <w:szCs w:val="27"/>
          <w:rtl/>
        </w:rPr>
        <w:lastRenderedPageBreak/>
        <w:t>אחת לשנה אינ</w:t>
      </w:r>
      <w:r w:rsidR="00FC3D73">
        <w:rPr>
          <w:rFonts w:hint="cs"/>
          <w:color w:val="000000"/>
          <w:sz w:val="27"/>
          <w:szCs w:val="27"/>
          <w:rtl/>
        </w:rPr>
        <w:t>ננו</w:t>
      </w:r>
      <w:r>
        <w:rPr>
          <w:rFonts w:hint="cs"/>
          <w:color w:val="000000"/>
          <w:sz w:val="27"/>
          <w:szCs w:val="27"/>
          <w:rtl/>
        </w:rPr>
        <w:t xml:space="preserve"> ערובה מפני שימוש לרעה בסמכויות הללו. המועצה קוראת להקנות סמכות פיקוח לבתי המשפט</w:t>
      </w:r>
      <w:r w:rsidR="00FC3D73">
        <w:rPr>
          <w:rFonts w:hint="cs"/>
          <w:color w:val="000000"/>
          <w:sz w:val="27"/>
          <w:szCs w:val="27"/>
          <w:rtl/>
        </w:rPr>
        <w:t xml:space="preserve"> על השימוש בסמכויות האמורות</w:t>
      </w:r>
      <w:r>
        <w:rPr>
          <w:rFonts w:hint="cs"/>
          <w:color w:val="000000"/>
          <w:sz w:val="27"/>
          <w:szCs w:val="27"/>
          <w:rtl/>
        </w:rPr>
        <w:t>.</w:t>
      </w:r>
    </w:p>
    <w:p w14:paraId="328F8BB0" w14:textId="4D8D0457" w:rsidR="00545F22" w:rsidRDefault="00545F22" w:rsidP="00545F22">
      <w:pPr>
        <w:pStyle w:val="NormalWeb"/>
        <w:bidi/>
        <w:spacing w:line="360" w:lineRule="auto"/>
        <w:jc w:val="both"/>
        <w:rPr>
          <w:color w:val="000000"/>
          <w:sz w:val="27"/>
          <w:szCs w:val="27"/>
          <w:rtl/>
        </w:rPr>
      </w:pPr>
      <w:r>
        <w:rPr>
          <w:rFonts w:hint="cs"/>
          <w:color w:val="000000"/>
          <w:sz w:val="27"/>
          <w:szCs w:val="27"/>
          <w:rtl/>
        </w:rPr>
        <w:t xml:space="preserve">בתחום עיסוקה המועצה מודאגת ביותר מהפגיעה בחופש התקשורת </w:t>
      </w:r>
      <w:r w:rsidR="00FC3D73">
        <w:rPr>
          <w:rFonts w:hint="cs"/>
          <w:color w:val="000000"/>
          <w:sz w:val="27"/>
          <w:szCs w:val="27"/>
          <w:rtl/>
        </w:rPr>
        <w:t xml:space="preserve">ביכולתה למלא את תפקידה החיוני במשטר דמוקרטי </w:t>
      </w:r>
      <w:r>
        <w:rPr>
          <w:rFonts w:hint="cs"/>
          <w:color w:val="000000"/>
          <w:sz w:val="27"/>
          <w:szCs w:val="27"/>
          <w:rtl/>
        </w:rPr>
        <w:t>ובזכות הציבור לדעת כאשר ההצעה אינה מקנה כל מעמד לעיתונאים ומאפשרת</w:t>
      </w:r>
      <w:r w:rsidR="00EC3FFB">
        <w:rPr>
          <w:rFonts w:hint="cs"/>
          <w:color w:val="000000"/>
          <w:sz w:val="27"/>
          <w:szCs w:val="27"/>
          <w:rtl/>
        </w:rPr>
        <w:t>,</w:t>
      </w:r>
      <w:r>
        <w:rPr>
          <w:rFonts w:hint="cs"/>
          <w:color w:val="000000"/>
          <w:sz w:val="27"/>
          <w:szCs w:val="27"/>
          <w:rtl/>
        </w:rPr>
        <w:t xml:space="preserve"> בין היתר</w:t>
      </w:r>
      <w:r w:rsidR="00FC3D73">
        <w:rPr>
          <w:rFonts w:hint="cs"/>
          <w:color w:val="000000"/>
          <w:sz w:val="27"/>
          <w:szCs w:val="27"/>
          <w:rtl/>
        </w:rPr>
        <w:t>,</w:t>
      </w:r>
      <w:r>
        <w:rPr>
          <w:rFonts w:hint="cs"/>
          <w:color w:val="000000"/>
          <w:sz w:val="27"/>
          <w:szCs w:val="27"/>
          <w:rtl/>
        </w:rPr>
        <w:t xml:space="preserve"> חדירה למחשביהם ללא כל פיקוח</w:t>
      </w:r>
      <w:r w:rsidR="00EC3FFB">
        <w:rPr>
          <w:rFonts w:hint="cs"/>
          <w:color w:val="000000"/>
          <w:sz w:val="27"/>
          <w:szCs w:val="27"/>
          <w:rtl/>
        </w:rPr>
        <w:t xml:space="preserve"> ומבלי שהם אף מודעים לחשיפתם</w:t>
      </w:r>
      <w:r>
        <w:rPr>
          <w:rFonts w:hint="cs"/>
          <w:color w:val="000000"/>
          <w:sz w:val="27"/>
          <w:szCs w:val="27"/>
          <w:rtl/>
        </w:rPr>
        <w:t xml:space="preserve">. הדבר פוגע </w:t>
      </w:r>
      <w:r w:rsidR="001868CC">
        <w:rPr>
          <w:rFonts w:hint="cs"/>
          <w:color w:val="000000"/>
          <w:sz w:val="27"/>
          <w:szCs w:val="27"/>
          <w:rtl/>
        </w:rPr>
        <w:t>ביכולתו של העיתונאי לאסוף מידע ו</w:t>
      </w:r>
      <w:r>
        <w:rPr>
          <w:rFonts w:hint="cs"/>
          <w:color w:val="000000"/>
          <w:sz w:val="27"/>
          <w:szCs w:val="27"/>
          <w:rtl/>
        </w:rPr>
        <w:t>בחובתו כלפי מקורותיו ומסכל כל אפשרות לעבודה עיתונאית.</w:t>
      </w:r>
    </w:p>
    <w:p w14:paraId="31586804" w14:textId="77777777" w:rsidR="00EC3FFB" w:rsidRDefault="00545F22" w:rsidP="00545F22">
      <w:pPr>
        <w:pStyle w:val="FootnoteText"/>
        <w:spacing w:line="360" w:lineRule="auto"/>
        <w:jc w:val="both"/>
        <w:rPr>
          <w:rFonts w:ascii="Times New Roman" w:eastAsia="Times New Roman" w:hAnsi="Times New Roman" w:cs="Times New Roman"/>
          <w:sz w:val="27"/>
          <w:szCs w:val="27"/>
          <w:bdr w:val="none" w:sz="0" w:space="0" w:color="auto" w:frame="1"/>
          <w:rtl/>
          <w:lang w:val="en-GB" w:eastAsia="en-GB"/>
        </w:rPr>
      </w:pPr>
      <w:r>
        <w:rPr>
          <w:rFonts w:ascii="Times New Roman" w:eastAsia="Times New Roman" w:hAnsi="Times New Roman" w:cs="Times New Roman"/>
          <w:sz w:val="27"/>
          <w:szCs w:val="27"/>
          <w:bdr w:val="none" w:sz="0" w:space="0" w:color="auto" w:frame="1"/>
          <w:rtl/>
          <w:lang w:val="en-GB" w:eastAsia="en-GB"/>
        </w:rPr>
        <w:t xml:space="preserve">יודגש, ההגנה על החיסיון העיתונאי הוכרה בפסיקה הישראלית. </w:t>
      </w:r>
    </w:p>
    <w:p w14:paraId="47EEBA80" w14:textId="3B9A811F" w:rsidR="00545F22" w:rsidRDefault="00545F22" w:rsidP="00545F22">
      <w:pPr>
        <w:pStyle w:val="FootnoteText"/>
        <w:spacing w:line="360" w:lineRule="auto"/>
        <w:jc w:val="both"/>
        <w:rPr>
          <w:rFonts w:ascii="Times New Roman" w:eastAsia="Times New Roman" w:hAnsi="Times New Roman" w:cs="Times New Roman"/>
          <w:sz w:val="27"/>
          <w:szCs w:val="27"/>
          <w:bdr w:val="none" w:sz="0" w:space="0" w:color="auto" w:frame="1"/>
          <w:rtl/>
          <w:lang w:val="en-GB" w:eastAsia="en-GB"/>
        </w:rPr>
      </w:pPr>
      <w:r>
        <w:rPr>
          <w:rFonts w:ascii="Times New Roman" w:eastAsia="Times New Roman" w:hAnsi="Times New Roman" w:cs="Times New Roman"/>
          <w:sz w:val="27"/>
          <w:szCs w:val="27"/>
          <w:bdr w:val="none" w:sz="0" w:space="0" w:color="auto" w:frame="1"/>
          <w:rtl/>
          <w:lang w:val="en-GB" w:eastAsia="en-GB"/>
        </w:rPr>
        <w:t>ראו בין היתר: בג"ץ 2109/20, 2187/20 ארגון העיתונאים בישראל ואח' נ' ראש הממשלה ואח', 26.4.2020; רע"פ 761/12 מדינת ישראל נ' מקור ראשון (המאוחד) הצופה בע"מ ואח', 29.11.2012; דנ"א 2122/12 פלוני נ' ד"ר אילנה דיין אורבך, סעיפים 52 – 54 לפסק דינו של הנשיא (כתוארו אז) גרוניס, 18.9.2014; ב"ש 298/86 בן ציון ציטרין – בית הדין המשמעתי של לשכת עורכי הדין במחוז ת"א (1987); בג"ץ 3809/08 האגודה לזכויות האזרח ואח' נ' משטרת ישראל ואח', 28.5.2012, סעיף 10.</w:t>
      </w:r>
    </w:p>
    <w:p w14:paraId="2C7598FE" w14:textId="77777777" w:rsidR="00545F22" w:rsidRDefault="00545F22" w:rsidP="00545F22">
      <w:pPr>
        <w:pStyle w:val="FootnoteText"/>
        <w:spacing w:line="360" w:lineRule="auto"/>
        <w:jc w:val="both"/>
        <w:rPr>
          <w:rFonts w:ascii="Times New Roman" w:eastAsia="Times New Roman" w:hAnsi="Times New Roman" w:cs="Times New Roman"/>
          <w:sz w:val="27"/>
          <w:szCs w:val="27"/>
          <w:bdr w:val="none" w:sz="0" w:space="0" w:color="auto" w:frame="1"/>
          <w:rtl/>
          <w:lang w:val="en-GB" w:eastAsia="en-GB"/>
        </w:rPr>
      </w:pPr>
      <w:r>
        <w:rPr>
          <w:rFonts w:ascii="Times New Roman" w:eastAsia="Times New Roman" w:hAnsi="Times New Roman" w:cs="Times New Roman"/>
          <w:sz w:val="27"/>
          <w:szCs w:val="27"/>
          <w:bdr w:val="none" w:sz="0" w:space="0" w:color="auto" w:frame="1"/>
          <w:rtl/>
          <w:lang w:val="en-GB" w:eastAsia="en-GB"/>
        </w:rPr>
        <w:t>ראו גם דו"ח הוועדה לבדיקת החיסיון העיתונאי בישראל הרצ"ב. הוועדה מונתה בידי שרי המשטרה והמשפטים ובראשה עמד חבר מליאת המועצה פרופ' אשר מעוז. כן היה חבר בוועדה חבר נשיאות המועצה פרופ' עמוס שפירא וחברים נוספים בוועדה היו חברי המועצה בזמנים שונים.</w:t>
      </w:r>
    </w:p>
    <w:p w14:paraId="367B0F9B" w14:textId="77777777" w:rsidR="00545F22" w:rsidRDefault="00545F22" w:rsidP="00545F22">
      <w:pPr>
        <w:pStyle w:val="FootnoteText"/>
        <w:spacing w:line="360" w:lineRule="auto"/>
        <w:jc w:val="both"/>
        <w:rPr>
          <w:rFonts w:ascii="Times New Roman" w:eastAsia="Times New Roman" w:hAnsi="Times New Roman" w:cs="Times New Roman"/>
          <w:sz w:val="27"/>
          <w:szCs w:val="27"/>
          <w:bdr w:val="none" w:sz="0" w:space="0" w:color="auto" w:frame="1"/>
          <w:rtl/>
          <w:lang w:val="en-GB" w:eastAsia="en-GB"/>
        </w:rPr>
      </w:pPr>
      <w:r>
        <w:rPr>
          <w:rFonts w:ascii="Times New Roman" w:eastAsia="Times New Roman" w:hAnsi="Times New Roman" w:cs="Times New Roman"/>
          <w:sz w:val="27"/>
          <w:szCs w:val="27"/>
          <w:bdr w:val="none" w:sz="0" w:space="0" w:color="auto" w:frame="1"/>
          <w:rtl/>
          <w:lang w:val="en-GB" w:eastAsia="en-GB"/>
        </w:rPr>
        <w:t>וראו כללית: גיא פסה,  "הבסיס העיוני של עיקרון ווופש הגיטוי ומעמדה המשפטי של העיתונות", משפטים ל"א, 895 (תשס"א)</w:t>
      </w:r>
    </w:p>
    <w:p w14:paraId="2A128427" w14:textId="77777777" w:rsidR="00545F22" w:rsidRDefault="00000000" w:rsidP="00545F22">
      <w:pPr>
        <w:pStyle w:val="NormalWeb"/>
        <w:bidi/>
        <w:spacing w:line="360" w:lineRule="auto"/>
        <w:jc w:val="both"/>
        <w:rPr>
          <w:color w:val="000000"/>
          <w:sz w:val="27"/>
          <w:szCs w:val="27"/>
        </w:rPr>
      </w:pPr>
      <w:hyperlink r:id="rId5" w:history="1">
        <w:r w:rsidR="00545F22">
          <w:rPr>
            <w:rStyle w:val="Hyperlink"/>
            <w:rFonts w:eastAsiaTheme="majorEastAsia"/>
            <w:sz w:val="27"/>
            <w:szCs w:val="27"/>
          </w:rPr>
          <w:t>https://lawjournal.huji.ac.il/sites/default/files/2018-02/%D7%94%D7%91%D7%A1%D7%99%D7%A1%20%D7%94%D7%A2%D7%99%D7%95%D7%A0%D7%99%20%D7%A9%D7%9C%20%D7%A2%D7%99%D7%A7%D7%A8%D7%95%D7%9F%20%D7%97%D7%95%D7%A4%D7%A9%20%D7%94%D7%91%D7%99%D7%98%D7%95%D7%99%20%D7%95%D7%9E%D7%A2%D7%9E%D7%93%D7%94%20%D7%94%D7%9E%D7%A9%D7%A4%D7%98%D7%99%20%D7%A9%D7%9C%20%D7%94%D7%A2%D7%99%D7%AA%D7%95%D7%A0%D7%95%D7%AA.pdf</w:t>
        </w:r>
      </w:hyperlink>
    </w:p>
    <w:p w14:paraId="236493A7" w14:textId="77777777" w:rsidR="00545F22" w:rsidRDefault="00545F22" w:rsidP="00545F22">
      <w:pPr>
        <w:pStyle w:val="NormalWeb"/>
        <w:bidi/>
        <w:spacing w:line="360" w:lineRule="auto"/>
        <w:jc w:val="both"/>
        <w:rPr>
          <w:color w:val="000000"/>
          <w:sz w:val="27"/>
          <w:szCs w:val="27"/>
          <w:rtl/>
        </w:rPr>
      </w:pPr>
      <w:r>
        <w:rPr>
          <w:rFonts w:hint="cs"/>
          <w:color w:val="000000"/>
          <w:sz w:val="27"/>
          <w:szCs w:val="27"/>
          <w:rtl/>
        </w:rPr>
        <w:lastRenderedPageBreak/>
        <w:t>לעניין זה מודאגת המועצה במיוחד מהוראת סעיף 10 (ה) לתזכיר שקובע:</w:t>
      </w:r>
    </w:p>
    <w:tbl>
      <w:tblPr>
        <w:bidiVisual/>
        <w:tblW w:w="9645" w:type="dxa"/>
        <w:tblLayout w:type="fixed"/>
        <w:tblCellMar>
          <w:top w:w="57" w:type="dxa"/>
          <w:left w:w="0" w:type="dxa"/>
          <w:bottom w:w="57" w:type="dxa"/>
          <w:right w:w="0" w:type="dxa"/>
        </w:tblCellMar>
        <w:tblLook w:val="01E0" w:firstRow="1" w:lastRow="1" w:firstColumn="1" w:lastColumn="1" w:noHBand="0" w:noVBand="0"/>
      </w:tblPr>
      <w:tblGrid>
        <w:gridCol w:w="842"/>
        <w:gridCol w:w="842"/>
        <w:gridCol w:w="156"/>
        <w:gridCol w:w="7805"/>
      </w:tblGrid>
      <w:tr w:rsidR="00545F22" w14:paraId="18F114EE" w14:textId="77777777" w:rsidTr="00545F22">
        <w:trPr>
          <w:cantSplit/>
          <w:trHeight w:val="60"/>
        </w:trPr>
        <w:tc>
          <w:tcPr>
            <w:tcW w:w="841" w:type="dxa"/>
          </w:tcPr>
          <w:p w14:paraId="64812C15" w14:textId="77777777" w:rsidR="00545F22" w:rsidRDefault="00545F22">
            <w:pPr>
              <w:pStyle w:val="TableText"/>
              <w:jc w:val="both"/>
              <w:rPr>
                <w:rFonts w:ascii="Times New Roman" w:eastAsia="Times New Roman" w:hAnsi="Times New Roman" w:cs="Times New Roman"/>
                <w:color w:val="000000"/>
                <w:kern w:val="2"/>
                <w:sz w:val="27"/>
                <w:szCs w:val="27"/>
                <w:rtl/>
                <w:lang w:val="en-GB" w:eastAsia="en-GB"/>
                <w14:ligatures w14:val="standardContextual"/>
              </w:rPr>
            </w:pPr>
          </w:p>
        </w:tc>
        <w:tc>
          <w:tcPr>
            <w:tcW w:w="998" w:type="dxa"/>
            <w:gridSpan w:val="2"/>
          </w:tcPr>
          <w:p w14:paraId="4A85073B" w14:textId="77777777" w:rsidR="00545F22" w:rsidRDefault="00545F22">
            <w:pPr>
              <w:pStyle w:val="TableText"/>
              <w:jc w:val="both"/>
              <w:rPr>
                <w:rFonts w:ascii="Times New Roman" w:eastAsia="Times New Roman" w:hAnsi="Times New Roman" w:cs="Times New Roman"/>
                <w:color w:val="000000"/>
                <w:kern w:val="2"/>
                <w:sz w:val="27"/>
                <w:szCs w:val="27"/>
                <w:lang w:val="en-GB" w:eastAsia="en-GB"/>
                <w14:ligatures w14:val="standardContextual"/>
              </w:rPr>
            </w:pPr>
          </w:p>
        </w:tc>
        <w:tc>
          <w:tcPr>
            <w:tcW w:w="7802" w:type="dxa"/>
            <w:hideMark/>
          </w:tcPr>
          <w:p w14:paraId="6C7347F6" w14:textId="77777777" w:rsidR="00545F22" w:rsidRDefault="00545F22">
            <w:pPr>
              <w:pStyle w:val="TableBlock"/>
              <w:rPr>
                <w:rFonts w:ascii="Times New Roman" w:eastAsia="Times New Roman" w:hAnsi="Times New Roman" w:cs="Times New Roman"/>
                <w:color w:val="000000"/>
                <w:kern w:val="2"/>
                <w:sz w:val="27"/>
                <w:szCs w:val="27"/>
                <w:lang w:val="en-GB" w:eastAsia="en-GB"/>
                <w14:ligatures w14:val="standardContextual"/>
              </w:rPr>
            </w:pPr>
            <w:r>
              <w:rPr>
                <w:rFonts w:ascii="Times New Roman" w:eastAsia="Times New Roman" w:hAnsi="Times New Roman" w:cs="Times New Roman"/>
                <w:color w:val="000000"/>
                <w:kern w:val="2"/>
                <w:sz w:val="27"/>
                <w:szCs w:val="27"/>
                <w:rtl/>
                <w:lang w:val="en-GB" w:eastAsia="en-GB"/>
                <w14:ligatures w14:val="standardContextual"/>
              </w:rPr>
              <w:t>על אף הוראות סעיפים קטנים (א) עד (ד), לא יבוצע חיפוש סמוי אצל בעלי המקצוע המפורטים בסעיף 9א לחוק האזנת סתר, אלא באישור בית משפט ויחולו לעניין זה הוראות סעיף 9א(א)(1) ו–(ב) לחוק האמור בשינויים המחויבים; אין באמור בסעיף קטן זה כדי לגרוע מסמכות ראש רשות ביטחון לפי סעיף 5 לחוק האמור.</w:t>
            </w:r>
          </w:p>
          <w:p w14:paraId="1D9C86EE" w14:textId="279B2E8E" w:rsidR="00545F22" w:rsidRDefault="00545F22">
            <w:pPr>
              <w:pStyle w:val="TableBlock"/>
              <w:rPr>
                <w:rFonts w:ascii="Times New Roman" w:eastAsia="Times New Roman" w:hAnsi="Times New Roman" w:cs="Times New Roman"/>
                <w:color w:val="000000"/>
                <w:kern w:val="2"/>
                <w:sz w:val="27"/>
                <w:szCs w:val="27"/>
                <w:rtl/>
                <w:lang w:val="en-GB" w:eastAsia="en-GB"/>
                <w14:ligatures w14:val="standardContextual"/>
              </w:rPr>
            </w:pPr>
          </w:p>
        </w:tc>
      </w:tr>
      <w:tr w:rsidR="00545F22" w14:paraId="0A5471CA" w14:textId="77777777" w:rsidTr="00545F22">
        <w:trPr>
          <w:cantSplit/>
          <w:trHeight w:val="60"/>
        </w:trPr>
        <w:tc>
          <w:tcPr>
            <w:tcW w:w="841" w:type="dxa"/>
          </w:tcPr>
          <w:p w14:paraId="73BCB856" w14:textId="77777777" w:rsidR="00545F22" w:rsidRDefault="00545F22">
            <w:pPr>
              <w:pStyle w:val="TableText"/>
              <w:jc w:val="both"/>
              <w:rPr>
                <w:rFonts w:ascii="Times New Roman" w:eastAsia="Times New Roman" w:hAnsi="Times New Roman" w:cs="Times New Roman"/>
                <w:color w:val="000000"/>
                <w:kern w:val="2"/>
                <w:sz w:val="27"/>
                <w:szCs w:val="27"/>
                <w:lang w:val="en-GB" w:eastAsia="en-GB"/>
                <w14:ligatures w14:val="standardContextual"/>
              </w:rPr>
            </w:pPr>
          </w:p>
        </w:tc>
        <w:tc>
          <w:tcPr>
            <w:tcW w:w="842" w:type="dxa"/>
          </w:tcPr>
          <w:p w14:paraId="29F8BF31" w14:textId="77777777" w:rsidR="00545F22" w:rsidRDefault="00545F22">
            <w:pPr>
              <w:pStyle w:val="TableText"/>
              <w:jc w:val="both"/>
              <w:rPr>
                <w:rFonts w:ascii="Times New Roman" w:eastAsia="Times New Roman" w:hAnsi="Times New Roman" w:cs="Times New Roman"/>
                <w:color w:val="000000"/>
                <w:kern w:val="2"/>
                <w:sz w:val="27"/>
                <w:szCs w:val="27"/>
                <w:lang w:val="en-GB" w:eastAsia="en-GB"/>
                <w14:ligatures w14:val="standardContextual"/>
              </w:rPr>
            </w:pPr>
          </w:p>
        </w:tc>
        <w:tc>
          <w:tcPr>
            <w:tcW w:w="7958" w:type="dxa"/>
            <w:gridSpan w:val="2"/>
          </w:tcPr>
          <w:p w14:paraId="46CB8FB2" w14:textId="77777777" w:rsidR="00545F22" w:rsidRDefault="00545F22">
            <w:pPr>
              <w:pStyle w:val="TableBlock"/>
              <w:rPr>
                <w:rFonts w:ascii="Times New Roman" w:eastAsia="Times New Roman" w:hAnsi="Times New Roman" w:cs="Times New Roman"/>
                <w:color w:val="000000"/>
                <w:kern w:val="2"/>
                <w:sz w:val="27"/>
                <w:szCs w:val="27"/>
                <w:lang w:val="en-GB" w:eastAsia="en-GB"/>
                <w14:ligatures w14:val="standardContextual"/>
              </w:rPr>
            </w:pPr>
          </w:p>
        </w:tc>
      </w:tr>
    </w:tbl>
    <w:p w14:paraId="649E08DB" w14:textId="77777777" w:rsidR="00545F22" w:rsidRDefault="00545F22" w:rsidP="00EC3FFB">
      <w:pPr>
        <w:shd w:val="clear" w:color="auto" w:fill="FFFFFF"/>
        <w:bidi/>
        <w:spacing w:after="0" w:line="240" w:lineRule="auto"/>
        <w:rPr>
          <w:rFonts w:ascii="Times New Roman" w:eastAsia="Times New Roman" w:hAnsi="Times New Roman" w:cs="Times New Roman"/>
          <w:color w:val="000000"/>
          <w:kern w:val="0"/>
          <w:sz w:val="27"/>
          <w:szCs w:val="27"/>
          <w:lang w:val="en-GB" w:eastAsia="en-GB"/>
          <w14:ligatures w14:val="none"/>
        </w:rPr>
      </w:pPr>
      <w:r>
        <w:rPr>
          <w:rFonts w:ascii="Times New Roman" w:eastAsia="Times New Roman" w:hAnsi="Times New Roman" w:cs="Times New Roman"/>
          <w:color w:val="000000"/>
          <w:kern w:val="0"/>
          <w:sz w:val="27"/>
          <w:szCs w:val="27"/>
          <w:rtl/>
          <w:lang w:val="en-GB" w:eastAsia="en-GB"/>
          <w14:ligatures w14:val="none"/>
        </w:rPr>
        <w:t>סעיף 9 לחוק האזנת סתר, תשל"ט-1979 קובע:</w:t>
      </w:r>
    </w:p>
    <w:p w14:paraId="1DC6956C" w14:textId="77777777" w:rsidR="00545F22" w:rsidRDefault="00545F22" w:rsidP="00545F22">
      <w:pPr>
        <w:shd w:val="clear" w:color="auto" w:fill="FFFFFF"/>
        <w:spacing w:after="0" w:line="240" w:lineRule="auto"/>
        <w:jc w:val="right"/>
        <w:rPr>
          <w:rFonts w:ascii="Times New Roman" w:eastAsia="Times New Roman" w:hAnsi="Times New Roman" w:cs="Times New Roman"/>
          <w:color w:val="000000"/>
          <w:kern w:val="0"/>
          <w:sz w:val="27"/>
          <w:szCs w:val="27"/>
          <w:rtl/>
          <w:lang w:val="en-GB" w:eastAsia="en-GB"/>
          <w14:ligatures w14:val="none"/>
        </w:rPr>
      </w:pPr>
    </w:p>
    <w:p w14:paraId="665F1E3C" w14:textId="77777777" w:rsidR="00545F22" w:rsidRDefault="00545F22" w:rsidP="00545F22">
      <w:pPr>
        <w:shd w:val="clear" w:color="auto" w:fill="FFFFFF"/>
        <w:spacing w:after="0" w:line="360" w:lineRule="auto"/>
        <w:ind w:right="1563"/>
        <w:jc w:val="right"/>
        <w:rPr>
          <w:rtl/>
        </w:rPr>
      </w:pPr>
      <w:r>
        <w:rPr>
          <w:rFonts w:ascii="Times New Roman" w:eastAsia="Times New Roman" w:hAnsi="Times New Roman" w:cs="Times New Roman"/>
          <w:color w:val="000000"/>
          <w:kern w:val="0"/>
          <w:sz w:val="27"/>
          <w:szCs w:val="27"/>
          <w:rtl/>
          <w:lang w:val="en-GB" w:eastAsia="en-GB"/>
          <w14:ligatures w14:val="none"/>
        </w:rPr>
        <w:t>חוק זה אינו בא להתיר האזנת סתר לשיחה שעדות עליה חסויה לפי סעיפים 48 עד 51 לפקודת הראיות [נוסח חדש], תשל"א-1971</w:t>
      </w:r>
      <w:r>
        <w:rPr>
          <w:rFonts w:ascii="Times New Roman" w:eastAsia="Times New Roman" w:hAnsi="Times New Roman" w:cs="Times New Roman"/>
          <w:color w:val="000000"/>
          <w:kern w:val="0"/>
          <w:sz w:val="27"/>
          <w:szCs w:val="27"/>
          <w:lang w:val="en-GB" w:eastAsia="en-GB"/>
          <w14:ligatures w14:val="none"/>
        </w:rPr>
        <w:t>.</w:t>
      </w:r>
    </w:p>
    <w:p w14:paraId="6A17C101" w14:textId="1D64348D" w:rsidR="00545F22" w:rsidRDefault="00545F22" w:rsidP="00545F22">
      <w:pPr>
        <w:shd w:val="clear" w:color="auto" w:fill="FFFFFF"/>
        <w:bidi/>
        <w:spacing w:before="150" w:after="0" w:line="360" w:lineRule="auto"/>
        <w:jc w:val="both"/>
        <w:rPr>
          <w:rFonts w:ascii="Times New Roman" w:eastAsia="Times New Roman" w:hAnsi="Times New Roman" w:cs="Times New Roman"/>
          <w:color w:val="000000"/>
          <w:kern w:val="0"/>
          <w:sz w:val="27"/>
          <w:szCs w:val="27"/>
          <w:lang w:val="en-GB" w:eastAsia="en-GB"/>
          <w14:ligatures w14:val="none"/>
        </w:rPr>
      </w:pPr>
      <w:r>
        <w:rPr>
          <w:rFonts w:ascii="Times New Roman" w:eastAsia="Times New Roman" w:hAnsi="Times New Roman" w:cs="Times New Roman"/>
          <w:color w:val="000000"/>
          <w:kern w:val="0"/>
          <w:sz w:val="27"/>
          <w:szCs w:val="27"/>
          <w:rtl/>
          <w:lang w:val="en-GB" w:eastAsia="en-GB"/>
          <w14:ligatures w14:val="none"/>
        </w:rPr>
        <w:t>סעיף 48 לפקודה עוסק בעורך-דין, סעיף 49 עוסק ברופא, סעיף 50 עוסק בפסיכולוג מומחה, סעיף 50א עוסק בעובד סוציאלי וסעיף 51 עוסק בכהן דת.</w:t>
      </w:r>
    </w:p>
    <w:p w14:paraId="2C544212" w14:textId="1AFBDF34" w:rsidR="00545F22" w:rsidRDefault="00545F22" w:rsidP="00545F22">
      <w:pPr>
        <w:shd w:val="clear" w:color="auto" w:fill="FFFFFF"/>
        <w:bidi/>
        <w:spacing w:before="150" w:after="0" w:line="360" w:lineRule="auto"/>
        <w:jc w:val="both"/>
        <w:rPr>
          <w:rFonts w:ascii="Times New Roman" w:eastAsia="Times New Roman" w:hAnsi="Times New Roman" w:cs="Times New Roman"/>
          <w:color w:val="000000"/>
          <w:kern w:val="0"/>
          <w:sz w:val="27"/>
          <w:szCs w:val="27"/>
          <w:rtl/>
          <w:lang w:val="en-GB" w:eastAsia="en-GB"/>
          <w14:ligatures w14:val="none"/>
        </w:rPr>
      </w:pPr>
      <w:r>
        <w:rPr>
          <w:rFonts w:ascii="Times New Roman" w:eastAsia="Times New Roman" w:hAnsi="Times New Roman" w:cs="Times New Roman"/>
          <w:color w:val="000000"/>
          <w:kern w:val="0"/>
          <w:sz w:val="27"/>
          <w:szCs w:val="27"/>
          <w:rtl/>
          <w:lang w:val="en-GB" w:eastAsia="en-GB"/>
          <w14:ligatures w14:val="none"/>
        </w:rPr>
        <w:t xml:space="preserve">רק מקומו של העיתונאי נפקד מהרשימה. </w:t>
      </w:r>
      <w:r w:rsidR="00EC3FFB">
        <w:rPr>
          <w:rFonts w:ascii="Times New Roman" w:eastAsia="Times New Roman" w:hAnsi="Times New Roman" w:cs="Times New Roman"/>
          <w:color w:val="000000"/>
          <w:kern w:val="0"/>
          <w:sz w:val="27"/>
          <w:szCs w:val="27"/>
          <w:rtl/>
          <w:lang w:val="en-GB" w:eastAsia="en-GB"/>
          <w14:ligatures w14:val="none"/>
        </w:rPr>
        <w:t xml:space="preserve">ללא הגנה מחדירה למסמכיו ולמחשבו תושם עבודת העיתונאי לאל. </w:t>
      </w:r>
      <w:r>
        <w:rPr>
          <w:rFonts w:ascii="Times New Roman" w:eastAsia="Times New Roman" w:hAnsi="Times New Roman" w:cs="Times New Roman"/>
          <w:color w:val="000000"/>
          <w:kern w:val="0"/>
          <w:sz w:val="27"/>
          <w:szCs w:val="27"/>
          <w:rtl/>
          <w:lang w:val="en-GB" w:eastAsia="en-GB"/>
          <w14:ligatures w14:val="none"/>
        </w:rPr>
        <w:t>אין להכביר מילים על חשיבותה של התקשורת במשטר דמוקרטי ובמיוחד בשעת חירום.</w:t>
      </w:r>
    </w:p>
    <w:p w14:paraId="377765EF" w14:textId="77777777" w:rsidR="00545F22" w:rsidRDefault="00545F22" w:rsidP="00545F22">
      <w:pPr>
        <w:shd w:val="clear" w:color="auto" w:fill="FFFFFF"/>
        <w:bidi/>
        <w:spacing w:before="150" w:after="0" w:line="360" w:lineRule="auto"/>
        <w:jc w:val="both"/>
        <w:rPr>
          <w:rFonts w:ascii="Times New Roman" w:eastAsia="Times New Roman" w:hAnsi="Times New Roman" w:cs="Times New Roman"/>
          <w:color w:val="000000"/>
          <w:kern w:val="0"/>
          <w:sz w:val="27"/>
          <w:szCs w:val="27"/>
          <w:rtl/>
          <w:lang w:val="en-GB" w:eastAsia="en-GB"/>
          <w14:ligatures w14:val="none"/>
        </w:rPr>
      </w:pPr>
      <w:r>
        <w:rPr>
          <w:rFonts w:ascii="Times New Roman" w:eastAsia="Times New Roman" w:hAnsi="Times New Roman" w:cs="Times New Roman"/>
          <w:color w:val="000000"/>
          <w:kern w:val="0"/>
          <w:sz w:val="27"/>
          <w:szCs w:val="27"/>
          <w:rtl/>
          <w:lang w:val="en-GB" w:eastAsia="en-GB"/>
          <w14:ligatures w14:val="none"/>
        </w:rPr>
        <w:t>המועצה מדגישה את הצורך להבטיח הגנה לעיתונאי אם על-ידי קביעה מפורשת בחוק שירות הביטחון הכללי או על-ידי תיקון חוק האזנת סתר או פקודת הראיות שאם לא כן תידרדר ישראל למדינות חשוכות שאינן מאפשרות לתקשורת למלא את תפקידה החיוני.</w:t>
      </w:r>
    </w:p>
    <w:p w14:paraId="7A8E60E8" w14:textId="77777777" w:rsidR="00545F22" w:rsidRDefault="00545F22" w:rsidP="00545F22">
      <w:pPr>
        <w:pStyle w:val="NormalWeb"/>
        <w:bidi/>
        <w:spacing w:line="360" w:lineRule="auto"/>
        <w:jc w:val="both"/>
        <w:rPr>
          <w:color w:val="000000"/>
          <w:sz w:val="27"/>
          <w:szCs w:val="27"/>
          <w:rtl/>
        </w:rPr>
      </w:pPr>
      <w:r>
        <w:rPr>
          <w:rFonts w:hint="cs"/>
          <w:color w:val="000000"/>
          <w:sz w:val="27"/>
          <w:szCs w:val="27"/>
          <w:rtl/>
        </w:rPr>
        <w:t>עיתוי התיקון לחוק השב"כ בעייתי אף הוא משהדבר נעשה בשעת חירום כאשר קיימת סכנה שזכויות הפרט וחופש העיתונות יוקרבו על מזבח מאורעות הימים הללו. עיתוי זה מחייב מתן תשומת לב מיוחדת לזכויות האמורות.</w:t>
      </w:r>
    </w:p>
    <w:p w14:paraId="7543B84D" w14:textId="36157D58" w:rsidR="00162B07" w:rsidRDefault="00FB67A9" w:rsidP="00EC3FFB">
      <w:pPr>
        <w:pStyle w:val="NormalWeb"/>
        <w:bidi/>
        <w:jc w:val="both"/>
        <w:rPr>
          <w:color w:val="000000"/>
          <w:sz w:val="27"/>
          <w:szCs w:val="27"/>
          <w:rtl/>
        </w:rPr>
      </w:pPr>
      <w:r>
        <w:rPr>
          <w:rFonts w:cs="David"/>
          <w:noProof/>
        </w:rPr>
        <w:drawing>
          <wp:inline distT="0" distB="0" distL="0" distR="0" wp14:anchorId="71766804" wp14:editId="6681537E">
            <wp:extent cx="1078865" cy="646430"/>
            <wp:effectExtent l="0" t="0" r="6985" b="1270"/>
            <wp:docPr id="4"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ignatu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646430"/>
                    </a:xfrm>
                    <a:prstGeom prst="rect">
                      <a:avLst/>
                    </a:prstGeom>
                    <a:noFill/>
                  </pic:spPr>
                </pic:pic>
              </a:graphicData>
            </a:graphic>
          </wp:inline>
        </w:drawing>
      </w:r>
    </w:p>
    <w:p w14:paraId="63D0B5E1" w14:textId="6536756D" w:rsidR="00EC3FFB" w:rsidRDefault="00EC3FFB" w:rsidP="00162B07">
      <w:pPr>
        <w:pStyle w:val="NormalWeb"/>
        <w:bidi/>
        <w:jc w:val="both"/>
        <w:rPr>
          <w:b/>
          <w:bCs/>
          <w:color w:val="000000"/>
          <w:sz w:val="27"/>
          <w:szCs w:val="27"/>
          <w:rtl/>
        </w:rPr>
      </w:pPr>
      <w:r>
        <w:rPr>
          <w:rFonts w:hint="cs"/>
          <w:color w:val="000000"/>
          <w:sz w:val="27"/>
          <w:szCs w:val="27"/>
          <w:rtl/>
        </w:rPr>
        <w:t xml:space="preserve">פרופ' </w:t>
      </w:r>
      <w:r>
        <w:rPr>
          <w:rFonts w:hint="cs"/>
          <w:b/>
          <w:bCs/>
          <w:color w:val="000000"/>
          <w:sz w:val="27"/>
          <w:szCs w:val="27"/>
          <w:rtl/>
        </w:rPr>
        <w:t>אשר מעוז</w:t>
      </w:r>
    </w:p>
    <w:p w14:paraId="3567C717" w14:textId="18FB2891" w:rsidR="00EC3FFB" w:rsidRDefault="004C0539" w:rsidP="00EC3FFB">
      <w:pPr>
        <w:pStyle w:val="NormalWeb"/>
        <w:bidi/>
        <w:jc w:val="both"/>
        <w:rPr>
          <w:b/>
          <w:bCs/>
          <w:color w:val="000000"/>
          <w:sz w:val="27"/>
          <w:szCs w:val="27"/>
          <w:rtl/>
        </w:rPr>
      </w:pPr>
      <w:r>
        <w:rPr>
          <w:rFonts w:hint="cs"/>
          <w:color w:val="000000"/>
          <w:sz w:val="27"/>
          <w:szCs w:val="27"/>
          <w:rtl/>
        </w:rPr>
        <w:t xml:space="preserve">בשם </w:t>
      </w:r>
      <w:r w:rsidR="00EC3FFB">
        <w:rPr>
          <w:rFonts w:hint="cs"/>
          <w:color w:val="000000"/>
          <w:sz w:val="27"/>
          <w:szCs w:val="27"/>
          <w:rtl/>
        </w:rPr>
        <w:t>מועצת העיתונות והתקשורת בישראל</w:t>
      </w:r>
    </w:p>
    <w:p w14:paraId="10FEE366" w14:textId="7768A5D3" w:rsidR="00EC3FFB" w:rsidRPr="00EC3FFB" w:rsidRDefault="00EC3FFB" w:rsidP="00EC3FFB">
      <w:pPr>
        <w:pStyle w:val="NormalWeb"/>
        <w:bidi/>
        <w:spacing w:line="360" w:lineRule="auto"/>
        <w:jc w:val="both"/>
        <w:rPr>
          <w:color w:val="000000"/>
          <w:sz w:val="27"/>
          <w:szCs w:val="27"/>
          <w:rtl/>
        </w:rPr>
      </w:pPr>
    </w:p>
    <w:p w14:paraId="43289161" w14:textId="77777777" w:rsidR="00545F22" w:rsidRDefault="00545F22" w:rsidP="00545F22">
      <w:pPr>
        <w:shd w:val="clear" w:color="auto" w:fill="FFFFFF"/>
        <w:bidi/>
        <w:spacing w:before="150" w:after="0" w:line="360" w:lineRule="auto"/>
        <w:jc w:val="both"/>
        <w:rPr>
          <w:rFonts w:ascii="Times New Roman" w:eastAsia="Times New Roman" w:hAnsi="Times New Roman" w:cs="Times New Roman"/>
          <w:color w:val="000000"/>
          <w:kern w:val="0"/>
          <w:sz w:val="27"/>
          <w:szCs w:val="27"/>
          <w:rtl/>
          <w:lang w:val="en-GB" w:eastAsia="en-GB"/>
          <w14:ligatures w14:val="none"/>
        </w:rPr>
      </w:pPr>
    </w:p>
    <w:p w14:paraId="065DFBB3" w14:textId="77777777" w:rsidR="00545F22" w:rsidRDefault="00545F22" w:rsidP="00545F22">
      <w:pPr>
        <w:pStyle w:val="NormalWeb"/>
        <w:bidi/>
        <w:spacing w:line="360" w:lineRule="auto"/>
        <w:jc w:val="both"/>
        <w:rPr>
          <w:color w:val="000000"/>
          <w:sz w:val="27"/>
          <w:szCs w:val="27"/>
          <w:rtl/>
        </w:rPr>
      </w:pPr>
    </w:p>
    <w:p w14:paraId="444D7988" w14:textId="77777777" w:rsidR="0069446C" w:rsidRDefault="0069446C" w:rsidP="00545F22">
      <w:pPr>
        <w:bidi/>
      </w:pPr>
    </w:p>
    <w:sectPr w:rsidR="00694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2"/>
    <w:rsid w:val="0001501D"/>
    <w:rsid w:val="000E00F6"/>
    <w:rsid w:val="00162B07"/>
    <w:rsid w:val="001868CC"/>
    <w:rsid w:val="0041160F"/>
    <w:rsid w:val="00421B27"/>
    <w:rsid w:val="004C0539"/>
    <w:rsid w:val="00545F22"/>
    <w:rsid w:val="005C352C"/>
    <w:rsid w:val="0069446C"/>
    <w:rsid w:val="00A14498"/>
    <w:rsid w:val="00C605D9"/>
    <w:rsid w:val="00D9765F"/>
    <w:rsid w:val="00EC3FFB"/>
    <w:rsid w:val="00FB67A9"/>
    <w:rsid w:val="00FC3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FE2F"/>
  <w15:chartTrackingRefBased/>
  <w15:docId w15:val="{FADAC8DB-0568-4157-98AB-881CDC3B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22"/>
    <w:pPr>
      <w:spacing w:line="256" w:lineRule="auto"/>
    </w:pPr>
  </w:style>
  <w:style w:type="paragraph" w:styleId="Heading1">
    <w:name w:val="heading 1"/>
    <w:basedOn w:val="Normal"/>
    <w:next w:val="Normal"/>
    <w:link w:val="Heading1Char"/>
    <w:uiPriority w:val="9"/>
    <w:qFormat/>
    <w:rsid w:val="00545F22"/>
    <w:pPr>
      <w:keepNext/>
      <w:keepLines/>
      <w:spacing w:before="360" w:after="80" w:line="259" w:lineRule="auto"/>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45F22"/>
    <w:pPr>
      <w:keepNext/>
      <w:keepLines/>
      <w:spacing w:before="160" w:after="80" w:line="259"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5F22"/>
    <w:pPr>
      <w:keepNext/>
      <w:keepLines/>
      <w:spacing w:before="160" w:after="80" w:line="259" w:lineRule="auto"/>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5F22"/>
    <w:pPr>
      <w:keepNext/>
      <w:keepLines/>
      <w:spacing w:before="80" w:after="40" w:line="259" w:lineRule="auto"/>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545F22"/>
    <w:pPr>
      <w:keepNext/>
      <w:keepLines/>
      <w:spacing w:before="80" w:after="40" w:line="259" w:lineRule="auto"/>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545F22"/>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5F22"/>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5F22"/>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5F22"/>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F2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45F2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5F22"/>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5F22"/>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545F22"/>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545F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5F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5F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5F22"/>
    <w:rPr>
      <w:rFonts w:eastAsiaTheme="majorEastAsia" w:cstheme="majorBidi"/>
      <w:color w:val="272727" w:themeColor="text1" w:themeTint="D8"/>
    </w:rPr>
  </w:style>
  <w:style w:type="paragraph" w:styleId="Title">
    <w:name w:val="Title"/>
    <w:basedOn w:val="Normal"/>
    <w:next w:val="Normal"/>
    <w:link w:val="TitleChar"/>
    <w:uiPriority w:val="10"/>
    <w:qFormat/>
    <w:rsid w:val="00545F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F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5F22"/>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5F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5F22"/>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545F22"/>
    <w:rPr>
      <w:i/>
      <w:iCs/>
      <w:color w:val="404040" w:themeColor="text1" w:themeTint="BF"/>
    </w:rPr>
  </w:style>
  <w:style w:type="paragraph" w:styleId="ListParagraph">
    <w:name w:val="List Paragraph"/>
    <w:basedOn w:val="Normal"/>
    <w:uiPriority w:val="34"/>
    <w:qFormat/>
    <w:rsid w:val="00545F22"/>
    <w:pPr>
      <w:spacing w:line="259" w:lineRule="auto"/>
      <w:ind w:left="720"/>
      <w:contextualSpacing/>
    </w:pPr>
  </w:style>
  <w:style w:type="character" w:styleId="IntenseEmphasis">
    <w:name w:val="Intense Emphasis"/>
    <w:basedOn w:val="DefaultParagraphFont"/>
    <w:uiPriority w:val="21"/>
    <w:qFormat/>
    <w:rsid w:val="00545F22"/>
    <w:rPr>
      <w:i/>
      <w:iCs/>
      <w:color w:val="2E74B5" w:themeColor="accent1" w:themeShade="BF"/>
    </w:rPr>
  </w:style>
  <w:style w:type="paragraph" w:styleId="IntenseQuote">
    <w:name w:val="Intense Quote"/>
    <w:basedOn w:val="Normal"/>
    <w:next w:val="Normal"/>
    <w:link w:val="IntenseQuoteChar"/>
    <w:uiPriority w:val="30"/>
    <w:qFormat/>
    <w:rsid w:val="00545F22"/>
    <w:pPr>
      <w:pBdr>
        <w:top w:val="single" w:sz="4" w:space="10" w:color="2E74B5" w:themeColor="accent1" w:themeShade="BF"/>
        <w:bottom w:val="single" w:sz="4" w:space="10" w:color="2E74B5" w:themeColor="accent1" w:themeShade="BF"/>
      </w:pBdr>
      <w:spacing w:before="360" w:after="360" w:line="259" w:lineRule="auto"/>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545F22"/>
    <w:rPr>
      <w:i/>
      <w:iCs/>
      <w:color w:val="2E74B5" w:themeColor="accent1" w:themeShade="BF"/>
    </w:rPr>
  </w:style>
  <w:style w:type="character" w:styleId="IntenseReference">
    <w:name w:val="Intense Reference"/>
    <w:basedOn w:val="DefaultParagraphFont"/>
    <w:uiPriority w:val="32"/>
    <w:qFormat/>
    <w:rsid w:val="00545F22"/>
    <w:rPr>
      <w:b/>
      <w:bCs/>
      <w:smallCaps/>
      <w:color w:val="2E74B5" w:themeColor="accent1" w:themeShade="BF"/>
      <w:spacing w:val="5"/>
    </w:rPr>
  </w:style>
  <w:style w:type="character" w:styleId="Hyperlink">
    <w:name w:val="Hyperlink"/>
    <w:basedOn w:val="DefaultParagraphFont"/>
    <w:uiPriority w:val="99"/>
    <w:unhideWhenUsed/>
    <w:rsid w:val="00545F22"/>
    <w:rPr>
      <w:color w:val="0000FF"/>
      <w:u w:val="single"/>
    </w:rPr>
  </w:style>
  <w:style w:type="paragraph" w:styleId="NormalWeb">
    <w:name w:val="Normal (Web)"/>
    <w:basedOn w:val="Normal"/>
    <w:uiPriority w:val="99"/>
    <w:semiHidden/>
    <w:unhideWhenUsed/>
    <w:rsid w:val="00545F22"/>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FootnoteText">
    <w:name w:val="footnote text"/>
    <w:link w:val="FootnoteTextChar"/>
    <w:uiPriority w:val="99"/>
    <w:semiHidden/>
    <w:unhideWhenUsed/>
    <w:rsid w:val="00545F22"/>
    <w:pPr>
      <w:bidi/>
      <w:spacing w:after="0" w:line="240" w:lineRule="auto"/>
    </w:pPr>
    <w:rPr>
      <w:rFonts w:ascii="Calibri" w:eastAsia="Calibri" w:hAnsi="Calibri" w:cs="Calibri"/>
      <w:color w:val="000000"/>
      <w:kern w:val="0"/>
      <w:sz w:val="20"/>
      <w:szCs w:val="20"/>
      <w:u w:color="000000"/>
      <w14:ligatures w14:val="none"/>
    </w:rPr>
  </w:style>
  <w:style w:type="character" w:customStyle="1" w:styleId="FootnoteTextChar">
    <w:name w:val="Footnote Text Char"/>
    <w:basedOn w:val="DefaultParagraphFont"/>
    <w:link w:val="FootnoteText"/>
    <w:uiPriority w:val="99"/>
    <w:semiHidden/>
    <w:rsid w:val="00545F22"/>
    <w:rPr>
      <w:rFonts w:ascii="Calibri" w:eastAsia="Calibri" w:hAnsi="Calibri" w:cs="Calibri"/>
      <w:color w:val="000000"/>
      <w:kern w:val="0"/>
      <w:sz w:val="20"/>
      <w:szCs w:val="20"/>
      <w:u w:color="000000"/>
      <w14:ligatures w14:val="none"/>
    </w:rPr>
  </w:style>
  <w:style w:type="paragraph" w:customStyle="1" w:styleId="TableText">
    <w:name w:val="Table Text"/>
    <w:basedOn w:val="Normal"/>
    <w:uiPriority w:val="99"/>
    <w:semiHidden/>
    <w:rsid w:val="00545F22"/>
    <w:pPr>
      <w:keepLines/>
      <w:widowControl w:val="0"/>
      <w:tabs>
        <w:tab w:val="left" w:pos="624"/>
        <w:tab w:val="left" w:pos="1247"/>
      </w:tabs>
      <w:bidi/>
      <w:snapToGrid w:val="0"/>
      <w:spacing w:after="0" w:line="360" w:lineRule="auto"/>
      <w:contextualSpacing/>
    </w:pPr>
    <w:rPr>
      <w:rFonts w:ascii="Arial" w:eastAsia="Arial Unicode MS" w:hAnsi="Arial" w:cs="David"/>
      <w:kern w:val="0"/>
      <w:sz w:val="20"/>
      <w:szCs w:val="26"/>
      <w14:ligatures w14:val="none"/>
    </w:rPr>
  </w:style>
  <w:style w:type="paragraph" w:customStyle="1" w:styleId="TableBlock">
    <w:name w:val="Table Block"/>
    <w:basedOn w:val="TableText"/>
    <w:uiPriority w:val="99"/>
    <w:semiHidden/>
    <w:rsid w:val="00545F22"/>
    <w:pPr>
      <w:jc w:val="both"/>
    </w:pPr>
  </w:style>
  <w:style w:type="character" w:styleId="UnresolvedMention">
    <w:name w:val="Unresolved Mention"/>
    <w:basedOn w:val="DefaultParagraphFont"/>
    <w:uiPriority w:val="99"/>
    <w:semiHidden/>
    <w:unhideWhenUsed/>
    <w:rsid w:val="004C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387">
      <w:bodyDiv w:val="1"/>
      <w:marLeft w:val="0"/>
      <w:marRight w:val="0"/>
      <w:marTop w:val="0"/>
      <w:marBottom w:val="0"/>
      <w:divBdr>
        <w:top w:val="none" w:sz="0" w:space="0" w:color="auto"/>
        <w:left w:val="none" w:sz="0" w:space="0" w:color="auto"/>
        <w:bottom w:val="none" w:sz="0" w:space="0" w:color="auto"/>
        <w:right w:val="none" w:sz="0" w:space="0" w:color="auto"/>
      </w:divBdr>
    </w:div>
    <w:div w:id="17814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lawjournal.huji.ac.il/sites/default/files/2018-02/%D7%94%D7%91%D7%A1%D7%99%D7%A1%20%D7%94%D7%A2%D7%99%D7%95%D7%A0%D7%99%20%D7%A9%D7%9C%20%D7%A2%D7%99%D7%A7%D7%A8%D7%95%D7%9F%20%D7%97%D7%95%D7%A4%D7%A9%20%D7%94%D7%91%D7%99%D7%98%D7%95%D7%99%20%D7%95%D7%9E%D7%A2%D7%9E%D7%93%D7%94%20%D7%94%D7%9E%D7%A9%D7%A4%D7%98%D7%99%20%D7%A9%D7%9C%20%D7%94%D7%A2%D7%99%D7%AA%D7%95%D7%A0%D7%95%D7%AA.pdf" TargetMode="External"/><Relationship Id="rId4" Type="http://schemas.openxmlformats.org/officeDocument/2006/relationships/hyperlink" Target="mailto:mishpatit@pmo.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Maoz</dc:creator>
  <cp:keywords/>
  <dc:description/>
  <cp:lastModifiedBy>Asher Maoz</cp:lastModifiedBy>
  <cp:revision>10</cp:revision>
  <dcterms:created xsi:type="dcterms:W3CDTF">2024-01-17T00:26:00Z</dcterms:created>
  <dcterms:modified xsi:type="dcterms:W3CDTF">2024-01-17T08:15:00Z</dcterms:modified>
</cp:coreProperties>
</file>