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2209112</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וחמש</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יוזם:</w:t>
      </w:r>
      <w:r>
        <w:tab/>
      </w:r>
      <w:r>
        <w:rPr>
          <w:b/>
          <w:bCs/>
          <w:rtl/>
        </w:rPr>
        <w:t xml:space="preserve">      חבר הכנסת</w:t>
      </w:r>
      <w:bookmarkEnd w:id="2"/>
      <w:r w:rsidR="00B35784" w:rsidRPr="00F67051">
        <w:rPr>
          <w:b/>
          <w:bCs/>
        </w:rPr>
        <w:tab/>
      </w:r>
      <w:bookmarkStart w:id="3" w:name="LGS_PM_Names"/>
      <w:r>
        <w:rPr>
          <w:rFonts w:hint="cs"/>
          <w:b/>
          <w:bCs/>
          <w:rtl/>
        </w:rPr>
        <w:t xml:space="preserve">גדי </w:t>
      </w:r>
      <w:proofErr w:type="spellStart"/>
      <w:r>
        <w:rPr>
          <w:rFonts w:hint="cs"/>
          <w:b/>
          <w:bCs/>
          <w:rtl/>
        </w:rPr>
        <w:t>איזנקוט</w:t>
      </w:r>
      <w:bookmarkEnd w:id="3"/>
      <w:proofErr w:type="spellEnd"/>
    </w:p>
    <w:p w14:paraId="7F6961AA" w14:textId="39F9D96B" w:rsidR="00E13C27" w:rsidRPr="00CF1AA2" w:rsidRDefault="007D585A" w:rsidP="0036422C">
      <w:pPr>
        <w:pStyle w:val="David"/>
        <w:spacing w:before="0" w:line="360" w:lineRule="auto"/>
        <w:ind w:left="3544"/>
        <w:rPr>
          <w:b/>
          <w:bCs/>
          <w:sz w:val="16"/>
          <w:szCs w:val="16"/>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פ/3836/25</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4DE278C1" w:rsidR="00E13C27" w:rsidRPr="00F67051" w:rsidRDefault="003E0ECE" w:rsidP="0021633A">
      <w:pPr>
        <w:pStyle w:val="HeadHatzaotHok"/>
        <w:rPr>
          <w:rtl/>
        </w:rPr>
      </w:pPr>
      <w:bookmarkStart w:id="7" w:name="LGS_Subject"/>
      <w:r>
        <w:rPr>
          <w:rFonts w:hint="cs"/>
          <w:rtl/>
        </w:rPr>
        <w:t xml:space="preserve">הצעת חוק תפיסת הביטחון הלאומי, </w:t>
      </w:r>
      <w:proofErr w:type="spellStart"/>
      <w:r>
        <w:rPr>
          <w:rFonts w:hint="cs"/>
          <w:rtl/>
        </w:rPr>
        <w:t>התשפ"ג</w:t>
      </w:r>
      <w:proofErr w:type="spellEnd"/>
      <w:r>
        <w:rPr>
          <w:rFonts w:hint="cs"/>
          <w:rtl/>
        </w:rPr>
        <w:t>–2023</w:t>
      </w:r>
      <w:bookmarkEnd w:id="7"/>
    </w:p>
    <w:p w14:paraId="7F6961AE" w14:textId="77777777" w:rsidR="00E13C27" w:rsidRDefault="00E13C27" w:rsidP="0021633A">
      <w:pPr>
        <w:pStyle w:val="HeadDivreiHesber"/>
        <w:spacing w:before="0" w:after="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024D45" w14:paraId="2E97096C" w14:textId="77777777" w:rsidTr="00D83ECC">
        <w:trPr>
          <w:cantSplit/>
          <w:trHeight w:val="60"/>
        </w:trPr>
        <w:tc>
          <w:tcPr>
            <w:tcW w:w="1871" w:type="dxa"/>
          </w:tcPr>
          <w:p w14:paraId="4FA84D6E" w14:textId="77777777" w:rsidR="00024D45" w:rsidRDefault="00024D45" w:rsidP="00D83ECC">
            <w:pPr>
              <w:pStyle w:val="TableSideHeading"/>
              <w:keepLines w:val="0"/>
            </w:pPr>
            <w:r>
              <w:rPr>
                <w:rFonts w:hint="cs"/>
                <w:rtl/>
              </w:rPr>
              <w:t>מטרה</w:t>
            </w:r>
          </w:p>
        </w:tc>
        <w:tc>
          <w:tcPr>
            <w:tcW w:w="624" w:type="dxa"/>
          </w:tcPr>
          <w:p w14:paraId="06AF62F6" w14:textId="77777777" w:rsidR="00024D45" w:rsidRDefault="00024D45" w:rsidP="00D83ECC">
            <w:pPr>
              <w:pStyle w:val="TableText"/>
              <w:keepLines w:val="0"/>
              <w:autoSpaceDE/>
              <w:autoSpaceDN/>
              <w:adjustRightInd/>
              <w:ind w:right="0"/>
              <w:contextualSpacing/>
              <w:textAlignment w:val="auto"/>
            </w:pPr>
            <w:r>
              <w:rPr>
                <w:rFonts w:hint="cs"/>
                <w:rtl/>
              </w:rPr>
              <w:t>1.</w:t>
            </w:r>
          </w:p>
        </w:tc>
        <w:tc>
          <w:tcPr>
            <w:tcW w:w="7146" w:type="dxa"/>
          </w:tcPr>
          <w:p w14:paraId="11741D5C" w14:textId="77777777" w:rsidR="00024D45" w:rsidRPr="00C34DE2" w:rsidRDefault="00024D45" w:rsidP="00D83ECC">
            <w:pPr>
              <w:pStyle w:val="TableBlock"/>
              <w:keepLines w:val="0"/>
            </w:pPr>
            <w:r>
              <w:rPr>
                <w:rFonts w:hint="cs"/>
                <w:rtl/>
              </w:rPr>
              <w:t>מטרתו של חוק זה להתוות כללים לממשלת ישראל לגיבוש ולפרסום תפיסת ביטחון לאומי להתמודדות יעילה עם איומים קיומיים על מדינת ישראל ולקידום האינטרסים הלאומיים.</w:t>
            </w:r>
          </w:p>
        </w:tc>
      </w:tr>
      <w:tr w:rsidR="00024D45" w14:paraId="644733D0" w14:textId="77777777" w:rsidTr="00D83ECC">
        <w:trPr>
          <w:cantSplit/>
          <w:trHeight w:val="60"/>
        </w:trPr>
        <w:tc>
          <w:tcPr>
            <w:tcW w:w="1871" w:type="dxa"/>
          </w:tcPr>
          <w:p w14:paraId="73513425" w14:textId="77777777" w:rsidR="00024D45" w:rsidRDefault="00024D45" w:rsidP="00D83ECC">
            <w:pPr>
              <w:pStyle w:val="TableSideHeading"/>
              <w:keepLines w:val="0"/>
              <w:rPr>
                <w:rtl/>
              </w:rPr>
            </w:pPr>
            <w:r>
              <w:rPr>
                <w:rFonts w:hint="cs"/>
                <w:rtl/>
              </w:rPr>
              <w:t>הגדרות</w:t>
            </w:r>
          </w:p>
        </w:tc>
        <w:tc>
          <w:tcPr>
            <w:tcW w:w="624" w:type="dxa"/>
          </w:tcPr>
          <w:p w14:paraId="0D4A6D53" w14:textId="77777777" w:rsidR="00024D45" w:rsidRDefault="00024D45" w:rsidP="00D83ECC">
            <w:pPr>
              <w:pStyle w:val="TableText"/>
              <w:keepLines w:val="0"/>
              <w:autoSpaceDE/>
              <w:autoSpaceDN/>
              <w:adjustRightInd/>
              <w:ind w:right="0"/>
              <w:contextualSpacing/>
              <w:textAlignment w:val="auto"/>
              <w:rPr>
                <w:rtl/>
              </w:rPr>
            </w:pPr>
            <w:r>
              <w:rPr>
                <w:rFonts w:hint="cs"/>
                <w:rtl/>
              </w:rPr>
              <w:t>2.</w:t>
            </w:r>
          </w:p>
        </w:tc>
        <w:tc>
          <w:tcPr>
            <w:tcW w:w="7146" w:type="dxa"/>
          </w:tcPr>
          <w:p w14:paraId="7B50C29E" w14:textId="77777777" w:rsidR="00024D45" w:rsidRPr="000B5E19" w:rsidRDefault="00024D45" w:rsidP="00D83ECC">
            <w:pPr>
              <w:pStyle w:val="TableBlockOutdent"/>
              <w:rPr>
                <w:rtl/>
              </w:rPr>
            </w:pPr>
            <w:r>
              <w:rPr>
                <w:rFonts w:hint="cs"/>
                <w:rtl/>
              </w:rPr>
              <w:t xml:space="preserve">בחוק זה </w:t>
            </w:r>
            <w:r>
              <w:rPr>
                <w:rFonts w:hint="eastAsia"/>
                <w:rtl/>
              </w:rPr>
              <w:t>–</w:t>
            </w:r>
          </w:p>
        </w:tc>
      </w:tr>
      <w:tr w:rsidR="00024D45" w14:paraId="0E9C5AFB" w14:textId="77777777" w:rsidTr="00D83ECC">
        <w:trPr>
          <w:cantSplit/>
          <w:trHeight w:val="60"/>
        </w:trPr>
        <w:tc>
          <w:tcPr>
            <w:tcW w:w="1871" w:type="dxa"/>
          </w:tcPr>
          <w:p w14:paraId="1A9B9BB1" w14:textId="5D3EB65A" w:rsidR="00024D45" w:rsidRDefault="00024D45" w:rsidP="00D83ECC">
            <w:pPr>
              <w:pStyle w:val="TableSideHeading"/>
              <w:keepLines w:val="0"/>
            </w:pPr>
          </w:p>
        </w:tc>
        <w:tc>
          <w:tcPr>
            <w:tcW w:w="624" w:type="dxa"/>
          </w:tcPr>
          <w:p w14:paraId="5EB082B5" w14:textId="49E67A3B" w:rsidR="00024D45" w:rsidRDefault="00024D45" w:rsidP="00D83ECC">
            <w:pPr>
              <w:pStyle w:val="TableText"/>
              <w:keepLines w:val="0"/>
              <w:autoSpaceDE/>
              <w:autoSpaceDN/>
              <w:adjustRightInd/>
              <w:ind w:right="0"/>
              <w:contextualSpacing/>
              <w:textAlignment w:val="auto"/>
            </w:pPr>
          </w:p>
        </w:tc>
        <w:tc>
          <w:tcPr>
            <w:tcW w:w="7146" w:type="dxa"/>
          </w:tcPr>
          <w:p w14:paraId="34933671" w14:textId="77777777" w:rsidR="00024D45" w:rsidRPr="000B5E19" w:rsidRDefault="00024D45" w:rsidP="00024D45">
            <w:pPr>
              <w:pStyle w:val="TableBlockOutdent"/>
            </w:pPr>
            <w:r w:rsidRPr="000B5E19">
              <w:rPr>
                <w:rFonts w:hint="cs"/>
                <w:rtl/>
              </w:rPr>
              <w:t xml:space="preserve">"ביטחון לאומי" </w:t>
            </w:r>
            <w:r w:rsidRPr="000B5E19">
              <w:rPr>
                <w:rtl/>
              </w:rPr>
              <w:t>–</w:t>
            </w:r>
            <w:r w:rsidRPr="000B5E19">
              <w:rPr>
                <w:rFonts w:hint="cs"/>
                <w:rtl/>
              </w:rPr>
              <w:t xml:space="preserve"> הבטחת היכולת להתמודד ביעילות, בכל הנסיבות האפשריות, עם כל איום על הקיום הלאומי והאינטרסים הלאומיים, ו</w:t>
            </w:r>
            <w:r>
              <w:rPr>
                <w:rFonts w:hint="cs"/>
                <w:rtl/>
              </w:rPr>
              <w:t>המאמץ המדיני-</w:t>
            </w:r>
            <w:r w:rsidRPr="000B5E19">
              <w:rPr>
                <w:rFonts w:hint="cs"/>
                <w:rtl/>
              </w:rPr>
              <w:t>לאומי הכולל שהממשלה מנהלת בכדי ליצור מצב לאומי איתן.</w:t>
            </w:r>
          </w:p>
        </w:tc>
      </w:tr>
      <w:tr w:rsidR="00024D45" w14:paraId="0C04472C" w14:textId="77777777" w:rsidTr="00D83ECC">
        <w:trPr>
          <w:cantSplit/>
          <w:trHeight w:val="60"/>
        </w:trPr>
        <w:tc>
          <w:tcPr>
            <w:tcW w:w="1871" w:type="dxa"/>
          </w:tcPr>
          <w:p w14:paraId="1F5AFF11" w14:textId="77777777" w:rsidR="00024D45" w:rsidRDefault="00024D45" w:rsidP="00D83ECC">
            <w:pPr>
              <w:pStyle w:val="TableSideHeading"/>
              <w:keepLines w:val="0"/>
            </w:pPr>
          </w:p>
        </w:tc>
        <w:tc>
          <w:tcPr>
            <w:tcW w:w="624" w:type="dxa"/>
          </w:tcPr>
          <w:p w14:paraId="00F7E547" w14:textId="77777777" w:rsidR="00024D45" w:rsidRDefault="00024D45" w:rsidP="00D83ECC">
            <w:pPr>
              <w:pStyle w:val="TableText"/>
              <w:keepLines w:val="0"/>
              <w:autoSpaceDE/>
              <w:autoSpaceDN/>
              <w:adjustRightInd/>
              <w:ind w:right="0"/>
              <w:contextualSpacing/>
              <w:textAlignment w:val="auto"/>
            </w:pPr>
          </w:p>
        </w:tc>
        <w:tc>
          <w:tcPr>
            <w:tcW w:w="7146" w:type="dxa"/>
          </w:tcPr>
          <w:p w14:paraId="41238DD0" w14:textId="464B59B0" w:rsidR="00024D45" w:rsidRPr="00C8472D" w:rsidRDefault="00024D45" w:rsidP="00C8472D">
            <w:pPr>
              <w:pStyle w:val="TableBlockOutdent"/>
              <w:rPr>
                <w:rtl/>
              </w:rPr>
            </w:pPr>
            <w:r w:rsidRPr="00C8472D">
              <w:rPr>
                <w:rFonts w:hint="cs"/>
                <w:rtl/>
              </w:rPr>
              <w:t xml:space="preserve">"המטה לביטחון לאומי" </w:t>
            </w:r>
            <w:r w:rsidRPr="00C8472D">
              <w:rPr>
                <w:rtl/>
              </w:rPr>
              <w:t>–</w:t>
            </w:r>
            <w:r w:rsidRPr="00C8472D">
              <w:rPr>
                <w:rFonts w:hint="cs"/>
                <w:rtl/>
              </w:rPr>
              <w:t xml:space="preserve"> כמשמעותו בסעיף 1 לחוק המטה לביטחון לאומי, התשס"ח</w:t>
            </w:r>
            <w:r w:rsidRPr="00C8472D">
              <w:rPr>
                <w:rtl/>
              </w:rPr>
              <w:t>–</w:t>
            </w:r>
            <w:r w:rsidRPr="00C8472D">
              <w:rPr>
                <w:rFonts w:hint="cs"/>
                <w:rtl/>
              </w:rPr>
              <w:t>2008</w:t>
            </w:r>
            <w:r w:rsidRPr="00C8472D">
              <w:rPr>
                <w:vertAlign w:val="superscript"/>
                <w:rtl/>
              </w:rPr>
              <w:footnoteReference w:id="2"/>
            </w:r>
            <w:r w:rsidRPr="00C8472D">
              <w:rPr>
                <w:rFonts w:hint="cs"/>
                <w:rtl/>
              </w:rPr>
              <w:t>.</w:t>
            </w:r>
          </w:p>
        </w:tc>
      </w:tr>
      <w:tr w:rsidR="00024D45" w14:paraId="3AFF4AC8" w14:textId="77777777" w:rsidTr="00D83ECC">
        <w:trPr>
          <w:cantSplit/>
          <w:trHeight w:val="60"/>
        </w:trPr>
        <w:tc>
          <w:tcPr>
            <w:tcW w:w="1871" w:type="dxa"/>
          </w:tcPr>
          <w:p w14:paraId="38FCA9DF" w14:textId="77777777" w:rsidR="00024D45" w:rsidRDefault="00024D45" w:rsidP="00D83ECC">
            <w:pPr>
              <w:pStyle w:val="TableSideHeading"/>
              <w:keepLines w:val="0"/>
            </w:pPr>
          </w:p>
        </w:tc>
        <w:tc>
          <w:tcPr>
            <w:tcW w:w="624" w:type="dxa"/>
          </w:tcPr>
          <w:p w14:paraId="500D9F0F" w14:textId="77777777" w:rsidR="00024D45" w:rsidRDefault="00024D45" w:rsidP="00D83ECC">
            <w:pPr>
              <w:pStyle w:val="TableText"/>
            </w:pPr>
          </w:p>
        </w:tc>
        <w:tc>
          <w:tcPr>
            <w:tcW w:w="7146" w:type="dxa"/>
          </w:tcPr>
          <w:p w14:paraId="359BF47E" w14:textId="01C450BB" w:rsidR="00024D45" w:rsidRPr="00024D45" w:rsidRDefault="00024D45" w:rsidP="00024D45">
            <w:pPr>
              <w:pStyle w:val="TableBlockOutdent"/>
              <w:rPr>
                <w:rtl/>
              </w:rPr>
            </w:pPr>
            <w:r w:rsidRPr="00024D45">
              <w:rPr>
                <w:rFonts w:hint="cs"/>
                <w:rtl/>
              </w:rPr>
              <w:t xml:space="preserve">"תפיסת הביטחון הלאומי" </w:t>
            </w:r>
            <w:r w:rsidRPr="00024D45">
              <w:rPr>
                <w:rtl/>
              </w:rPr>
              <w:t>–</w:t>
            </w:r>
            <w:r w:rsidRPr="00024D45">
              <w:rPr>
                <w:rFonts w:hint="cs"/>
                <w:rtl/>
              </w:rPr>
              <w:t xml:space="preserve"> מסמך המפרט את תפיסת העולם הביטחונית לאומית, הכולל הנחות יסוד מוסכמות בתחום הביטחון הלאומי, והמוגדר על ידי הממשלה על פי ראייה ארוכת טווח ובהתבסס על האינטרסים הלאומיים.</w:t>
            </w:r>
          </w:p>
        </w:tc>
      </w:tr>
      <w:tr w:rsidR="00024D45" w14:paraId="2EEE8741" w14:textId="77777777" w:rsidTr="00D83ECC">
        <w:trPr>
          <w:cantSplit/>
          <w:trHeight w:val="60"/>
        </w:trPr>
        <w:tc>
          <w:tcPr>
            <w:tcW w:w="1871" w:type="dxa"/>
          </w:tcPr>
          <w:p w14:paraId="6EE4BFA8" w14:textId="77777777" w:rsidR="00024D45" w:rsidRPr="00BF555E" w:rsidRDefault="00024D45" w:rsidP="00D83ECC">
            <w:pPr>
              <w:pStyle w:val="TableSideHeading"/>
              <w:ind w:right="0"/>
              <w:rPr>
                <w:rtl/>
              </w:rPr>
            </w:pPr>
            <w:r w:rsidRPr="00BF555E">
              <w:rPr>
                <w:rFonts w:hint="cs"/>
                <w:rtl/>
              </w:rPr>
              <w:t>גיבוש ופרסום תפיסת הביטחון</w:t>
            </w:r>
          </w:p>
          <w:p w14:paraId="58998A8A" w14:textId="77777777" w:rsidR="00024D45" w:rsidRDefault="00024D45" w:rsidP="00D83ECC">
            <w:pPr>
              <w:pStyle w:val="TableSideHeading"/>
              <w:keepLines w:val="0"/>
            </w:pPr>
          </w:p>
        </w:tc>
        <w:tc>
          <w:tcPr>
            <w:tcW w:w="624" w:type="dxa"/>
          </w:tcPr>
          <w:p w14:paraId="1564A960" w14:textId="77777777" w:rsidR="00024D45" w:rsidRDefault="00024D45" w:rsidP="00D83ECC">
            <w:pPr>
              <w:pStyle w:val="TableText"/>
              <w:keepLines w:val="0"/>
              <w:autoSpaceDE/>
              <w:autoSpaceDN/>
              <w:adjustRightInd/>
              <w:ind w:right="0"/>
              <w:contextualSpacing/>
              <w:textAlignment w:val="auto"/>
            </w:pPr>
            <w:r>
              <w:rPr>
                <w:rFonts w:hint="cs"/>
                <w:rtl/>
              </w:rPr>
              <w:t>3.</w:t>
            </w:r>
          </w:p>
        </w:tc>
        <w:tc>
          <w:tcPr>
            <w:tcW w:w="7146" w:type="dxa"/>
          </w:tcPr>
          <w:p w14:paraId="51C2882A" w14:textId="6ECE8AED" w:rsidR="00024D45" w:rsidRDefault="00024D45" w:rsidP="00D83ECC">
            <w:pPr>
              <w:pStyle w:val="TableBlock"/>
              <w:keepLines w:val="0"/>
              <w:rPr>
                <w:rtl/>
              </w:rPr>
            </w:pPr>
            <w:r>
              <w:rPr>
                <w:rFonts w:hint="cs"/>
                <w:rtl/>
              </w:rPr>
              <w:t>(א)</w:t>
            </w:r>
            <w:r>
              <w:rPr>
                <w:rtl/>
              </w:rPr>
              <w:tab/>
            </w:r>
            <w:r>
              <w:rPr>
                <w:rFonts w:hint="cs"/>
                <w:rtl/>
              </w:rPr>
              <w:t>ראש המטה לביטחון לאומי יגבש מדי שנה את תפיסת הביטחון הלאומי, בהלימה לקווי היסוד שיתוו ראש הממשלה והממשלה, באישור ועדת החוץ והביטחון של הכנסת.</w:t>
            </w:r>
          </w:p>
        </w:tc>
      </w:tr>
      <w:tr w:rsidR="00024D45" w14:paraId="6E78F079" w14:textId="77777777" w:rsidTr="00D83ECC">
        <w:trPr>
          <w:cantSplit/>
          <w:trHeight w:val="60"/>
        </w:trPr>
        <w:tc>
          <w:tcPr>
            <w:tcW w:w="1871" w:type="dxa"/>
          </w:tcPr>
          <w:p w14:paraId="0FC793D8" w14:textId="77777777" w:rsidR="00024D45" w:rsidDel="00A62A81" w:rsidRDefault="00024D45" w:rsidP="00D83ECC">
            <w:pPr>
              <w:pStyle w:val="TableSideHeading"/>
              <w:keepLines w:val="0"/>
              <w:rPr>
                <w:rtl/>
              </w:rPr>
            </w:pPr>
          </w:p>
        </w:tc>
        <w:tc>
          <w:tcPr>
            <w:tcW w:w="624" w:type="dxa"/>
          </w:tcPr>
          <w:p w14:paraId="767F8707" w14:textId="77777777" w:rsidR="00024D45" w:rsidRDefault="00024D45" w:rsidP="00D83ECC">
            <w:pPr>
              <w:pStyle w:val="TableText"/>
              <w:rPr>
                <w:rtl/>
              </w:rPr>
            </w:pPr>
          </w:p>
        </w:tc>
        <w:tc>
          <w:tcPr>
            <w:tcW w:w="7146" w:type="dxa"/>
          </w:tcPr>
          <w:p w14:paraId="156C1547" w14:textId="4C8467AF" w:rsidR="00024D45" w:rsidRDefault="00024D45" w:rsidP="00024D45">
            <w:pPr>
              <w:pStyle w:val="TableBlock"/>
              <w:keepLines w:val="0"/>
            </w:pPr>
            <w:r>
              <w:rPr>
                <w:rFonts w:hint="cs"/>
                <w:rtl/>
              </w:rPr>
              <w:t>(ב)</w:t>
            </w:r>
            <w:r>
              <w:rPr>
                <w:rtl/>
              </w:rPr>
              <w:tab/>
            </w:r>
            <w:r>
              <w:rPr>
                <w:rFonts w:hint="cs"/>
                <w:rtl/>
              </w:rPr>
              <w:t>ראש המטה לביטחון לאומי יציג את תפיסת הביטחון הלאומי של שנה נתונה בפני הממשלה</w:t>
            </w:r>
            <w:r>
              <w:rPr>
                <w:rFonts w:hint="cs"/>
              </w:rPr>
              <w:t xml:space="preserve"> </w:t>
            </w:r>
            <w:r>
              <w:rPr>
                <w:rFonts w:hint="cs"/>
                <w:rtl/>
              </w:rPr>
              <w:t>ובפני ועדת החוץ והביטחון של הכנסת בחודש ינואר של כל שנה, וכן יפרסם נוסח בלתי מסווג לטובת הציבור.</w:t>
            </w:r>
          </w:p>
        </w:tc>
      </w:tr>
      <w:tr w:rsidR="00024D45" w14:paraId="4B50176F" w14:textId="77777777" w:rsidTr="00D83ECC">
        <w:trPr>
          <w:cantSplit/>
          <w:trHeight w:val="60"/>
        </w:trPr>
        <w:tc>
          <w:tcPr>
            <w:tcW w:w="1871" w:type="dxa"/>
          </w:tcPr>
          <w:p w14:paraId="30AE4E30" w14:textId="77777777" w:rsidR="00024D45" w:rsidRPr="00EB7732" w:rsidRDefault="00024D45" w:rsidP="00D83ECC">
            <w:pPr>
              <w:pStyle w:val="TableSideHeading"/>
              <w:keepLines w:val="0"/>
              <w:rPr>
                <w:rtl/>
              </w:rPr>
            </w:pPr>
          </w:p>
        </w:tc>
        <w:tc>
          <w:tcPr>
            <w:tcW w:w="624" w:type="dxa"/>
          </w:tcPr>
          <w:p w14:paraId="29FA6792" w14:textId="77777777" w:rsidR="00024D45" w:rsidRDefault="00024D45" w:rsidP="00D83ECC">
            <w:pPr>
              <w:pStyle w:val="TableText"/>
              <w:keepLines w:val="0"/>
              <w:autoSpaceDE/>
              <w:autoSpaceDN/>
              <w:adjustRightInd/>
              <w:ind w:right="0"/>
              <w:contextualSpacing/>
              <w:textAlignment w:val="auto"/>
            </w:pPr>
          </w:p>
        </w:tc>
        <w:tc>
          <w:tcPr>
            <w:tcW w:w="7146" w:type="dxa"/>
          </w:tcPr>
          <w:p w14:paraId="0664279B" w14:textId="36598391" w:rsidR="00024D45" w:rsidRPr="00EB7732" w:rsidRDefault="00024D45" w:rsidP="00024D45">
            <w:pPr>
              <w:pStyle w:val="TableBlock"/>
              <w:keepLines w:val="0"/>
              <w:rPr>
                <w:rtl/>
              </w:rPr>
            </w:pPr>
            <w:r>
              <w:rPr>
                <w:rFonts w:hint="cs"/>
                <w:rtl/>
              </w:rPr>
              <w:t>(ג)</w:t>
            </w:r>
            <w:r>
              <w:rPr>
                <w:rtl/>
              </w:rPr>
              <w:tab/>
            </w:r>
            <w:r>
              <w:rPr>
                <w:rFonts w:hint="cs"/>
                <w:rtl/>
              </w:rPr>
              <w:t>הוקמה ממשלה חדשה, יציג ויפרסם ראש המטה לביטחון לאומי את תפיסת הביטחון הלאומי כאמור בסעיף קטן (ב) לא יאוחר מ-180 ימים מיום הקמת הממשלה; אין בהוראות סעיף קטן זה כדי לגרוע מחובתו לפי סעיף קטן (ב).</w:t>
            </w:r>
          </w:p>
        </w:tc>
      </w:tr>
      <w:tr w:rsidR="00024D45" w14:paraId="35024528" w14:textId="77777777" w:rsidTr="00D83ECC">
        <w:trPr>
          <w:cantSplit/>
          <w:trHeight w:val="60"/>
        </w:trPr>
        <w:tc>
          <w:tcPr>
            <w:tcW w:w="1871" w:type="dxa"/>
          </w:tcPr>
          <w:p w14:paraId="5A9FEB05" w14:textId="77777777" w:rsidR="00024D45" w:rsidRPr="00BF555E" w:rsidRDefault="00024D45" w:rsidP="00D83ECC">
            <w:pPr>
              <w:pStyle w:val="TableSideHeading"/>
              <w:ind w:right="0"/>
              <w:rPr>
                <w:rtl/>
              </w:rPr>
            </w:pPr>
            <w:r w:rsidRPr="00BF555E">
              <w:rPr>
                <w:rFonts w:hint="cs"/>
                <w:rtl/>
              </w:rPr>
              <w:t>מרכיבי תפיסת הביטחון</w:t>
            </w:r>
          </w:p>
        </w:tc>
        <w:tc>
          <w:tcPr>
            <w:tcW w:w="624" w:type="dxa"/>
          </w:tcPr>
          <w:p w14:paraId="4407F5A9" w14:textId="77777777" w:rsidR="00024D45" w:rsidRDefault="00024D45" w:rsidP="00D83ECC">
            <w:pPr>
              <w:pStyle w:val="TableText"/>
              <w:keepLines w:val="0"/>
              <w:autoSpaceDE/>
              <w:autoSpaceDN/>
              <w:adjustRightInd/>
              <w:ind w:right="0"/>
              <w:contextualSpacing/>
              <w:textAlignment w:val="auto"/>
            </w:pPr>
            <w:r>
              <w:rPr>
                <w:rFonts w:hint="cs"/>
                <w:rtl/>
              </w:rPr>
              <w:t>4.</w:t>
            </w:r>
          </w:p>
        </w:tc>
        <w:tc>
          <w:tcPr>
            <w:tcW w:w="7146" w:type="dxa"/>
          </w:tcPr>
          <w:p w14:paraId="00681BE1" w14:textId="030F0D3E" w:rsidR="00024D45" w:rsidRDefault="00024D45" w:rsidP="00024D45">
            <w:pPr>
              <w:pStyle w:val="TableBlock"/>
              <w:keepLines w:val="0"/>
              <w:rPr>
                <w:rtl/>
              </w:rPr>
            </w:pPr>
            <w:r>
              <w:rPr>
                <w:rFonts w:hint="cs"/>
                <w:rtl/>
              </w:rPr>
              <w:t>תפיסת הביטחון הלאומי תפרט את אסטרטגיית הביטחון הלאומי של מדינת ישראל, ותכלול את המרכיבים הבאים:</w:t>
            </w:r>
          </w:p>
        </w:tc>
      </w:tr>
      <w:tr w:rsidR="00024D45" w14:paraId="537C35A1" w14:textId="77777777" w:rsidTr="00D83ECC">
        <w:trPr>
          <w:cantSplit/>
          <w:trHeight w:val="60"/>
        </w:trPr>
        <w:tc>
          <w:tcPr>
            <w:tcW w:w="1871" w:type="dxa"/>
          </w:tcPr>
          <w:p w14:paraId="3323CEC6" w14:textId="77777777" w:rsidR="00024D45" w:rsidRDefault="00024D45" w:rsidP="00D83ECC">
            <w:pPr>
              <w:pStyle w:val="TableSideHeading"/>
              <w:keepLines w:val="0"/>
              <w:rPr>
                <w:rtl/>
              </w:rPr>
            </w:pPr>
          </w:p>
        </w:tc>
        <w:tc>
          <w:tcPr>
            <w:tcW w:w="624" w:type="dxa"/>
          </w:tcPr>
          <w:p w14:paraId="7FC04F7A" w14:textId="77777777" w:rsidR="00024D45" w:rsidRDefault="00024D45" w:rsidP="00D83ECC">
            <w:pPr>
              <w:pStyle w:val="TableText"/>
              <w:keepLines w:val="0"/>
              <w:autoSpaceDE/>
              <w:autoSpaceDN/>
              <w:adjustRightInd/>
              <w:ind w:right="0"/>
              <w:contextualSpacing/>
              <w:textAlignment w:val="auto"/>
            </w:pPr>
          </w:p>
        </w:tc>
        <w:tc>
          <w:tcPr>
            <w:tcW w:w="7146" w:type="dxa"/>
          </w:tcPr>
          <w:p w14:paraId="0FB5FB73" w14:textId="77777777" w:rsidR="00024D45" w:rsidRDefault="00024D45" w:rsidP="00D83ECC">
            <w:pPr>
              <w:pStyle w:val="TableBlock"/>
              <w:keepLines w:val="0"/>
              <w:rPr>
                <w:rtl/>
              </w:rPr>
            </w:pPr>
            <w:r>
              <w:rPr>
                <w:rFonts w:hint="cs"/>
                <w:rtl/>
              </w:rPr>
              <w:t>(1)</w:t>
            </w:r>
            <w:r>
              <w:rPr>
                <w:rtl/>
              </w:rPr>
              <w:tab/>
            </w:r>
            <w:r>
              <w:rPr>
                <w:rFonts w:hint="cs"/>
                <w:rtl/>
              </w:rPr>
              <w:t>האינטרסים הלאומיים החיוניים והביטחוניים החיוניים של מדינת ישראל ומתוכם, כנגזרת, המטרות והיעדים הלאומיים שהינם חיוניים עבור הביטחון הלאומי;</w:t>
            </w:r>
          </w:p>
        </w:tc>
      </w:tr>
      <w:tr w:rsidR="00024D45" w14:paraId="4D7BA3E4" w14:textId="77777777" w:rsidTr="00D83ECC">
        <w:trPr>
          <w:cantSplit/>
          <w:trHeight w:val="60"/>
        </w:trPr>
        <w:tc>
          <w:tcPr>
            <w:tcW w:w="1871" w:type="dxa"/>
          </w:tcPr>
          <w:p w14:paraId="5F224CEF" w14:textId="77777777" w:rsidR="00024D45" w:rsidRDefault="00024D45" w:rsidP="00D83ECC">
            <w:pPr>
              <w:pStyle w:val="TableSideHeading"/>
              <w:keepLines w:val="0"/>
              <w:rPr>
                <w:rtl/>
              </w:rPr>
            </w:pPr>
          </w:p>
        </w:tc>
        <w:tc>
          <w:tcPr>
            <w:tcW w:w="624" w:type="dxa"/>
          </w:tcPr>
          <w:p w14:paraId="41EE58CC" w14:textId="77777777" w:rsidR="00024D45" w:rsidRDefault="00024D45" w:rsidP="00024D45">
            <w:pPr>
              <w:pStyle w:val="TableText"/>
            </w:pPr>
          </w:p>
        </w:tc>
        <w:tc>
          <w:tcPr>
            <w:tcW w:w="7146" w:type="dxa"/>
          </w:tcPr>
          <w:p w14:paraId="6FD15A21" w14:textId="77777777" w:rsidR="00024D45" w:rsidRDefault="00024D45" w:rsidP="00024D45">
            <w:pPr>
              <w:pStyle w:val="TableBlock"/>
              <w:keepLines w:val="0"/>
              <w:rPr>
                <w:rtl/>
              </w:rPr>
            </w:pPr>
            <w:r>
              <w:rPr>
                <w:rFonts w:hint="cs"/>
                <w:rtl/>
              </w:rPr>
              <w:t>(2)</w:t>
            </w:r>
            <w:r>
              <w:rPr>
                <w:rtl/>
              </w:rPr>
              <w:tab/>
            </w:r>
            <w:r>
              <w:rPr>
                <w:rFonts w:hint="cs"/>
                <w:rtl/>
              </w:rPr>
              <w:t>מדיניות הביטחון הלאומי ביחס לזירה הפנימית של מדינת ישראל, הכוללת התייחסות למאזן הדמוגרפי ולאופן חלוקת המשאבים בין תחומי המדינה;</w:t>
            </w:r>
          </w:p>
        </w:tc>
      </w:tr>
      <w:tr w:rsidR="00024D45" w14:paraId="40BE046E" w14:textId="77777777" w:rsidTr="00D83ECC">
        <w:trPr>
          <w:cantSplit/>
          <w:trHeight w:val="60"/>
        </w:trPr>
        <w:tc>
          <w:tcPr>
            <w:tcW w:w="1871" w:type="dxa"/>
          </w:tcPr>
          <w:p w14:paraId="1B4B3E11" w14:textId="77777777" w:rsidR="00024D45" w:rsidRDefault="00024D45" w:rsidP="00D83ECC">
            <w:pPr>
              <w:pStyle w:val="TableSideHeading"/>
              <w:keepLines w:val="0"/>
              <w:rPr>
                <w:rtl/>
              </w:rPr>
            </w:pPr>
          </w:p>
        </w:tc>
        <w:tc>
          <w:tcPr>
            <w:tcW w:w="624" w:type="dxa"/>
          </w:tcPr>
          <w:p w14:paraId="3098DCA8" w14:textId="77777777" w:rsidR="00024D45" w:rsidRDefault="00024D45" w:rsidP="00D83ECC">
            <w:pPr>
              <w:pStyle w:val="TableText"/>
              <w:keepLines w:val="0"/>
              <w:autoSpaceDE/>
              <w:autoSpaceDN/>
              <w:adjustRightInd/>
              <w:ind w:right="0"/>
              <w:contextualSpacing/>
              <w:textAlignment w:val="auto"/>
            </w:pPr>
          </w:p>
        </w:tc>
        <w:tc>
          <w:tcPr>
            <w:tcW w:w="7146" w:type="dxa"/>
          </w:tcPr>
          <w:p w14:paraId="7355E1A2" w14:textId="411B11AF" w:rsidR="00024D45" w:rsidRDefault="00024D45" w:rsidP="00024D45">
            <w:pPr>
              <w:pStyle w:val="TableBlock"/>
              <w:keepLines w:val="0"/>
              <w:rPr>
                <w:rtl/>
              </w:rPr>
            </w:pPr>
            <w:r>
              <w:rPr>
                <w:rFonts w:hint="cs"/>
                <w:rtl/>
              </w:rPr>
              <w:t>(3)</w:t>
            </w:r>
            <w:r>
              <w:rPr>
                <w:rtl/>
              </w:rPr>
              <w:tab/>
            </w:r>
            <w:r>
              <w:rPr>
                <w:rFonts w:hint="cs"/>
                <w:rtl/>
              </w:rPr>
              <w:t>מדיניות החוץ, איומים בינלאומיים ומשמעויותיהם ויכולות ההגנה הלאומיות הנחוצות ליישום תפיסת הביטחון הלאומי בזירה הבינלאומית ובזירה האזורית;</w:t>
            </w:r>
          </w:p>
        </w:tc>
      </w:tr>
      <w:tr w:rsidR="00024D45" w14:paraId="68FB74F8" w14:textId="77777777" w:rsidTr="00D83ECC">
        <w:trPr>
          <w:cantSplit/>
          <w:trHeight w:val="60"/>
        </w:trPr>
        <w:tc>
          <w:tcPr>
            <w:tcW w:w="1871" w:type="dxa"/>
          </w:tcPr>
          <w:p w14:paraId="54BCBE1C" w14:textId="77777777" w:rsidR="00024D45" w:rsidRDefault="00024D45" w:rsidP="00D83ECC">
            <w:pPr>
              <w:pStyle w:val="TableSideHeading"/>
              <w:keepLines w:val="0"/>
              <w:rPr>
                <w:rtl/>
              </w:rPr>
            </w:pPr>
          </w:p>
        </w:tc>
        <w:tc>
          <w:tcPr>
            <w:tcW w:w="624" w:type="dxa"/>
          </w:tcPr>
          <w:p w14:paraId="67D62351" w14:textId="77777777" w:rsidR="00024D45" w:rsidRDefault="00024D45" w:rsidP="00D83ECC">
            <w:pPr>
              <w:pStyle w:val="TableText"/>
              <w:keepLines w:val="0"/>
              <w:autoSpaceDE/>
              <w:autoSpaceDN/>
              <w:adjustRightInd/>
              <w:ind w:right="0"/>
              <w:contextualSpacing/>
              <w:textAlignment w:val="auto"/>
            </w:pPr>
          </w:p>
        </w:tc>
        <w:tc>
          <w:tcPr>
            <w:tcW w:w="7146" w:type="dxa"/>
          </w:tcPr>
          <w:p w14:paraId="1D15D0E4" w14:textId="5DFA6F8F" w:rsidR="00024D45" w:rsidRDefault="00024D45" w:rsidP="00D83ECC">
            <w:pPr>
              <w:pStyle w:val="TableBlock"/>
              <w:keepLines w:val="0"/>
              <w:rPr>
                <w:rtl/>
              </w:rPr>
            </w:pPr>
            <w:r>
              <w:rPr>
                <w:rFonts w:hint="cs"/>
                <w:rtl/>
              </w:rPr>
              <w:t>(4)</w:t>
            </w:r>
            <w:r>
              <w:rPr>
                <w:rtl/>
              </w:rPr>
              <w:tab/>
            </w:r>
            <w:r>
              <w:rPr>
                <w:rFonts w:hint="cs"/>
                <w:rtl/>
              </w:rPr>
              <w:t>שימושים קצרי טווח וארוכי טווח ביכולות ה</w:t>
            </w:r>
            <w:r w:rsidRPr="00024D45">
              <w:rPr>
                <w:rFonts w:hint="eastAsia"/>
                <w:rtl/>
              </w:rPr>
              <w:t>כלכליות</w:t>
            </w:r>
            <w:r>
              <w:rPr>
                <w:rFonts w:hint="cs"/>
                <w:rtl/>
              </w:rPr>
              <w:t>, הצבאיות והפוליטיות של הכוח הלאומי, למימוש, הגנה וקידום של האינטרסים האמורים בפסקה (1), והשגת המטרות והיעדים הנגזרים מהם;</w:t>
            </w:r>
          </w:p>
        </w:tc>
      </w:tr>
      <w:tr w:rsidR="00024D45" w14:paraId="0DA59E39" w14:textId="77777777" w:rsidTr="00D83ECC">
        <w:trPr>
          <w:cantSplit/>
          <w:trHeight w:val="60"/>
        </w:trPr>
        <w:tc>
          <w:tcPr>
            <w:tcW w:w="1871" w:type="dxa"/>
          </w:tcPr>
          <w:p w14:paraId="11C34C80" w14:textId="77777777" w:rsidR="00024D45" w:rsidRDefault="00024D45" w:rsidP="00D83ECC">
            <w:pPr>
              <w:pStyle w:val="TableSideHeading"/>
              <w:keepLines w:val="0"/>
              <w:rPr>
                <w:rtl/>
              </w:rPr>
            </w:pPr>
          </w:p>
        </w:tc>
        <w:tc>
          <w:tcPr>
            <w:tcW w:w="624" w:type="dxa"/>
          </w:tcPr>
          <w:p w14:paraId="0C5A8E63" w14:textId="77777777" w:rsidR="00024D45" w:rsidRDefault="00024D45" w:rsidP="00D83ECC">
            <w:pPr>
              <w:pStyle w:val="TableText"/>
              <w:keepLines w:val="0"/>
              <w:autoSpaceDE/>
              <w:autoSpaceDN/>
              <w:adjustRightInd/>
              <w:ind w:right="0"/>
              <w:contextualSpacing/>
              <w:textAlignment w:val="auto"/>
            </w:pPr>
          </w:p>
        </w:tc>
        <w:tc>
          <w:tcPr>
            <w:tcW w:w="7146" w:type="dxa"/>
          </w:tcPr>
          <w:p w14:paraId="0915352C" w14:textId="12ED8445" w:rsidR="00024D45" w:rsidRDefault="00024D45" w:rsidP="00C8472D">
            <w:pPr>
              <w:pStyle w:val="TableBlock"/>
              <w:keepLines w:val="0"/>
              <w:rPr>
                <w:rtl/>
              </w:rPr>
            </w:pPr>
            <w:r>
              <w:rPr>
                <w:rFonts w:hint="cs"/>
                <w:rtl/>
              </w:rPr>
              <w:t>(</w:t>
            </w:r>
            <w:r w:rsidR="00C8472D">
              <w:rPr>
                <w:rFonts w:hint="cs"/>
                <w:rtl/>
              </w:rPr>
              <w:t>5</w:t>
            </w:r>
            <w:r>
              <w:rPr>
                <w:rFonts w:hint="cs"/>
                <w:rtl/>
              </w:rPr>
              <w:t>)</w:t>
            </w:r>
            <w:r>
              <w:rPr>
                <w:rtl/>
              </w:rPr>
              <w:tab/>
            </w:r>
            <w:r>
              <w:rPr>
                <w:rFonts w:hint="cs"/>
                <w:rtl/>
              </w:rPr>
              <w:t>ניתוח היכולות הלאומיות של מדינת ישראל ליישום מדיניות הביטחון הלאומי;</w:t>
            </w:r>
          </w:p>
        </w:tc>
      </w:tr>
      <w:tr w:rsidR="00024D45" w14:paraId="5CA6D78F" w14:textId="77777777" w:rsidTr="00D83ECC">
        <w:trPr>
          <w:cantSplit/>
          <w:trHeight w:val="60"/>
        </w:trPr>
        <w:tc>
          <w:tcPr>
            <w:tcW w:w="1871" w:type="dxa"/>
          </w:tcPr>
          <w:p w14:paraId="25B39DE4" w14:textId="77777777" w:rsidR="00024D45" w:rsidRDefault="00024D45" w:rsidP="00D83ECC">
            <w:pPr>
              <w:pStyle w:val="TableSideHeading"/>
              <w:keepLines w:val="0"/>
              <w:rPr>
                <w:rtl/>
              </w:rPr>
            </w:pPr>
          </w:p>
        </w:tc>
        <w:tc>
          <w:tcPr>
            <w:tcW w:w="624" w:type="dxa"/>
          </w:tcPr>
          <w:p w14:paraId="76BCFB9B" w14:textId="77777777" w:rsidR="00024D45" w:rsidRDefault="00024D45" w:rsidP="00D83ECC">
            <w:pPr>
              <w:pStyle w:val="TableText"/>
              <w:keepLines w:val="0"/>
              <w:autoSpaceDE/>
              <w:autoSpaceDN/>
              <w:adjustRightInd/>
              <w:ind w:right="0"/>
              <w:contextualSpacing/>
              <w:textAlignment w:val="auto"/>
            </w:pPr>
          </w:p>
        </w:tc>
        <w:tc>
          <w:tcPr>
            <w:tcW w:w="7146" w:type="dxa"/>
          </w:tcPr>
          <w:p w14:paraId="4B0D69F6" w14:textId="1074489B" w:rsidR="00024D45" w:rsidRDefault="00024D45" w:rsidP="00C8472D">
            <w:pPr>
              <w:pStyle w:val="TableBlock"/>
              <w:keepLines w:val="0"/>
              <w:rPr>
                <w:rtl/>
              </w:rPr>
            </w:pPr>
            <w:r>
              <w:rPr>
                <w:rFonts w:hint="cs"/>
                <w:rtl/>
              </w:rPr>
              <w:t>(</w:t>
            </w:r>
            <w:r w:rsidR="00C8472D">
              <w:rPr>
                <w:rFonts w:hint="cs"/>
                <w:rtl/>
              </w:rPr>
              <w:t>6</w:t>
            </w:r>
            <w:r>
              <w:rPr>
                <w:rFonts w:hint="cs"/>
                <w:rtl/>
              </w:rPr>
              <w:t>)</w:t>
            </w:r>
            <w:r>
              <w:rPr>
                <w:rtl/>
              </w:rPr>
              <w:tab/>
            </w:r>
            <w:r>
              <w:rPr>
                <w:rFonts w:hint="cs"/>
                <w:rtl/>
              </w:rPr>
              <w:t>מידע נוסף שעשוי להיות חיוני לעבודת הממשלה ומימוש התפיסה בפועל.</w:t>
            </w:r>
          </w:p>
        </w:tc>
      </w:tr>
      <w:tr w:rsidR="00024D45" w14:paraId="45CE89DF" w14:textId="77777777" w:rsidTr="00D83ECC">
        <w:trPr>
          <w:cantSplit/>
          <w:trHeight w:val="60"/>
        </w:trPr>
        <w:tc>
          <w:tcPr>
            <w:tcW w:w="1871" w:type="dxa"/>
          </w:tcPr>
          <w:p w14:paraId="07A876F3" w14:textId="77777777" w:rsidR="00024D45" w:rsidRDefault="00024D45" w:rsidP="00D83ECC">
            <w:pPr>
              <w:pStyle w:val="TableSideHeading"/>
              <w:keepLines w:val="0"/>
              <w:rPr>
                <w:rtl/>
              </w:rPr>
            </w:pPr>
            <w:r>
              <w:rPr>
                <w:rFonts w:hint="cs"/>
                <w:rtl/>
              </w:rPr>
              <w:t>פרסום נוסח מסווג ובלתי מסווג</w:t>
            </w:r>
          </w:p>
          <w:p w14:paraId="64E7EE44" w14:textId="77777777" w:rsidR="00024D45" w:rsidRDefault="00024D45" w:rsidP="00D83ECC">
            <w:pPr>
              <w:pStyle w:val="TableSideHeading"/>
              <w:keepLines w:val="0"/>
            </w:pPr>
          </w:p>
        </w:tc>
        <w:tc>
          <w:tcPr>
            <w:tcW w:w="624" w:type="dxa"/>
          </w:tcPr>
          <w:p w14:paraId="30AC8411" w14:textId="77777777" w:rsidR="00024D45" w:rsidRDefault="00024D45" w:rsidP="00D83ECC">
            <w:pPr>
              <w:pStyle w:val="TableText"/>
              <w:keepLines w:val="0"/>
              <w:autoSpaceDE/>
              <w:autoSpaceDN/>
              <w:adjustRightInd/>
              <w:ind w:right="0"/>
              <w:contextualSpacing/>
              <w:textAlignment w:val="auto"/>
            </w:pPr>
            <w:r>
              <w:rPr>
                <w:rFonts w:hint="cs"/>
                <w:rtl/>
              </w:rPr>
              <w:t>5.</w:t>
            </w:r>
          </w:p>
        </w:tc>
        <w:tc>
          <w:tcPr>
            <w:tcW w:w="7146" w:type="dxa"/>
          </w:tcPr>
          <w:p w14:paraId="65534016" w14:textId="0E4B8756" w:rsidR="00024D45" w:rsidRDefault="00024D45" w:rsidP="00024D45">
            <w:pPr>
              <w:pStyle w:val="TableBlock"/>
              <w:keepLines w:val="0"/>
              <w:rPr>
                <w:rtl/>
              </w:rPr>
            </w:pPr>
            <w:r>
              <w:rPr>
                <w:rFonts w:hint="cs"/>
                <w:rtl/>
              </w:rPr>
              <w:t xml:space="preserve">תפיסת הביטחון הלאומי תועבר לממשלה </w:t>
            </w:r>
            <w:r w:rsidRPr="00024D45">
              <w:rPr>
                <w:rFonts w:hint="eastAsia"/>
                <w:rtl/>
              </w:rPr>
              <w:t>ולוועדת</w:t>
            </w:r>
            <w:r w:rsidRPr="00024D45">
              <w:rPr>
                <w:rtl/>
              </w:rPr>
              <w:t xml:space="preserve"> </w:t>
            </w:r>
            <w:r w:rsidRPr="00024D45">
              <w:rPr>
                <w:rFonts w:hint="eastAsia"/>
                <w:rtl/>
              </w:rPr>
              <w:t>השרים</w:t>
            </w:r>
            <w:r w:rsidRPr="00024D45">
              <w:rPr>
                <w:rtl/>
              </w:rPr>
              <w:t xml:space="preserve"> </w:t>
            </w:r>
            <w:r w:rsidRPr="00024D45">
              <w:rPr>
                <w:rFonts w:hint="eastAsia"/>
                <w:rtl/>
              </w:rPr>
              <w:t>לענייני</w:t>
            </w:r>
            <w:r w:rsidRPr="00024D45">
              <w:rPr>
                <w:rtl/>
              </w:rPr>
              <w:t xml:space="preserve"> </w:t>
            </w:r>
            <w:r w:rsidRPr="00024D45">
              <w:rPr>
                <w:rFonts w:hint="eastAsia"/>
                <w:rtl/>
              </w:rPr>
              <w:t>ביטחון</w:t>
            </w:r>
            <w:r w:rsidRPr="00024D45">
              <w:rPr>
                <w:rtl/>
              </w:rPr>
              <w:t xml:space="preserve"> לאומי </w:t>
            </w:r>
            <w:r w:rsidRPr="00024D45">
              <w:rPr>
                <w:rFonts w:hint="eastAsia"/>
                <w:rtl/>
              </w:rPr>
              <w:t>כמשמעותה</w:t>
            </w:r>
            <w:r w:rsidRPr="00024D45">
              <w:rPr>
                <w:rtl/>
              </w:rPr>
              <w:t xml:space="preserve"> </w:t>
            </w:r>
            <w:r w:rsidRPr="00024D45">
              <w:rPr>
                <w:rFonts w:hint="eastAsia"/>
                <w:rtl/>
              </w:rPr>
              <w:t>בסעיף</w:t>
            </w:r>
            <w:r w:rsidRPr="00024D45">
              <w:rPr>
                <w:rtl/>
              </w:rPr>
              <w:t xml:space="preserve"> 6 </w:t>
            </w:r>
            <w:r w:rsidRPr="00024D45">
              <w:rPr>
                <w:rFonts w:hint="eastAsia"/>
                <w:rtl/>
              </w:rPr>
              <w:t>לחוק</w:t>
            </w:r>
            <w:r w:rsidRPr="00024D45">
              <w:rPr>
                <w:rtl/>
              </w:rPr>
              <w:t xml:space="preserve"> הממשלה, </w:t>
            </w:r>
            <w:proofErr w:type="spellStart"/>
            <w:r w:rsidRPr="00024D45">
              <w:rPr>
                <w:rFonts w:hint="eastAsia"/>
                <w:rtl/>
              </w:rPr>
              <w:t>התשס</w:t>
            </w:r>
            <w:r w:rsidRPr="00024D45">
              <w:rPr>
                <w:rtl/>
              </w:rPr>
              <w:t>"א</w:t>
            </w:r>
            <w:proofErr w:type="spellEnd"/>
            <w:r w:rsidRPr="00024D45">
              <w:rPr>
                <w:rFonts w:hint="eastAsia"/>
                <w:rtl/>
              </w:rPr>
              <w:t>–</w:t>
            </w:r>
            <w:r w:rsidRPr="00024D45">
              <w:rPr>
                <w:rtl/>
              </w:rPr>
              <w:t>2001</w:t>
            </w:r>
            <w:r w:rsidRPr="00024D45">
              <w:rPr>
                <w:rStyle w:val="a5"/>
                <w:rtl/>
              </w:rPr>
              <w:footnoteReference w:id="3"/>
            </w:r>
            <w:r w:rsidRPr="00024D45">
              <w:rPr>
                <w:rtl/>
              </w:rPr>
              <w:t>,</w:t>
            </w:r>
            <w:r>
              <w:rPr>
                <w:rFonts w:hint="cs"/>
                <w:rtl/>
              </w:rPr>
              <w:t xml:space="preserve"> בנוסח מסווג, וניתן לכלול בה תקציר שאינו מסווג. </w:t>
            </w:r>
          </w:p>
        </w:tc>
      </w:tr>
      <w:tr w:rsidR="00024D45" w14:paraId="3A22CD14" w14:textId="77777777" w:rsidTr="00D83ECC">
        <w:trPr>
          <w:cantSplit/>
          <w:trHeight w:val="60"/>
        </w:trPr>
        <w:tc>
          <w:tcPr>
            <w:tcW w:w="1871" w:type="dxa"/>
          </w:tcPr>
          <w:p w14:paraId="1F8C0FD9" w14:textId="77777777" w:rsidR="00024D45" w:rsidRDefault="00024D45" w:rsidP="00D83ECC">
            <w:pPr>
              <w:pStyle w:val="TableSideHeading"/>
              <w:keepLines w:val="0"/>
              <w:rPr>
                <w:rtl/>
              </w:rPr>
            </w:pPr>
            <w:r>
              <w:rPr>
                <w:rFonts w:hint="cs"/>
                <w:rtl/>
              </w:rPr>
              <w:t>תיקון חוק המטה לביטחון לאומי</w:t>
            </w:r>
          </w:p>
        </w:tc>
        <w:tc>
          <w:tcPr>
            <w:tcW w:w="624" w:type="dxa"/>
          </w:tcPr>
          <w:p w14:paraId="5B48B785" w14:textId="77777777" w:rsidR="00024D45" w:rsidRDefault="00024D45" w:rsidP="00024D45">
            <w:pPr>
              <w:pStyle w:val="TableText"/>
              <w:rPr>
                <w:rtl/>
              </w:rPr>
            </w:pPr>
            <w:r>
              <w:rPr>
                <w:rFonts w:hint="cs"/>
                <w:rtl/>
              </w:rPr>
              <w:t>6.</w:t>
            </w:r>
          </w:p>
        </w:tc>
        <w:tc>
          <w:tcPr>
            <w:tcW w:w="7146" w:type="dxa"/>
          </w:tcPr>
          <w:p w14:paraId="0FB5524B" w14:textId="02E8E083" w:rsidR="00024D45" w:rsidRDefault="00024D45" w:rsidP="00024D45">
            <w:pPr>
              <w:pStyle w:val="TableBlock"/>
              <w:keepLines w:val="0"/>
              <w:rPr>
                <w:rtl/>
              </w:rPr>
            </w:pPr>
            <w:r>
              <w:rPr>
                <w:rFonts w:hint="cs"/>
                <w:rtl/>
              </w:rPr>
              <w:t xml:space="preserve">בחוק המטה לביטחון לאומי, </w:t>
            </w:r>
            <w:r w:rsidRPr="00E7156D">
              <w:rPr>
                <w:rFonts w:hint="cs"/>
                <w:rtl/>
              </w:rPr>
              <w:t>התשס"ח</w:t>
            </w:r>
            <w:r w:rsidRPr="00E7156D">
              <w:rPr>
                <w:rtl/>
              </w:rPr>
              <w:t>–</w:t>
            </w:r>
            <w:r w:rsidRPr="00E7156D">
              <w:rPr>
                <w:rFonts w:hint="cs"/>
                <w:rtl/>
              </w:rPr>
              <w:t>2008</w:t>
            </w:r>
            <w:r>
              <w:rPr>
                <w:rStyle w:val="a5"/>
                <w:rtl/>
              </w:rPr>
              <w:footnoteReference w:id="4"/>
            </w:r>
            <w:r>
              <w:rPr>
                <w:rFonts w:hint="cs"/>
                <w:rtl/>
              </w:rPr>
              <w:t xml:space="preserve">, בסעיף 2, בפסקה (9), במקום "לבחון" יבוא "לגבש" ובמקום "של מדינת ישראל" יבוא "הלאומי, כהגדרתה בחוק תפיסת הביטחון הלאומי, </w:t>
            </w:r>
            <w:proofErr w:type="spellStart"/>
            <w:r>
              <w:rPr>
                <w:rFonts w:hint="cs"/>
                <w:rtl/>
              </w:rPr>
              <w:t>התשפ"ג</w:t>
            </w:r>
            <w:proofErr w:type="spellEnd"/>
            <w:r>
              <w:rPr>
                <w:rtl/>
              </w:rPr>
              <w:t>–</w:t>
            </w:r>
            <w:r>
              <w:rPr>
                <w:rFonts w:hint="cs"/>
                <w:rtl/>
              </w:rPr>
              <w:t>2023".</w:t>
            </w:r>
          </w:p>
        </w:tc>
      </w:tr>
    </w:tbl>
    <w:p w14:paraId="2B35E3EE" w14:textId="77777777" w:rsidR="00C8472D" w:rsidRDefault="00C8472D" w:rsidP="002D1EE3">
      <w:pPr>
        <w:pStyle w:val="HeadDivreiHesber"/>
        <w:rPr>
          <w:rtl/>
        </w:rPr>
      </w:pPr>
      <w:r>
        <w:rPr>
          <w:rtl/>
        </w:rPr>
        <w:br w:type="page"/>
      </w:r>
    </w:p>
    <w:p w14:paraId="7F6961CA" w14:textId="4A5EA03B" w:rsidR="002D1EE3" w:rsidRDefault="002D1EE3" w:rsidP="002D1EE3">
      <w:pPr>
        <w:pStyle w:val="HeadDivreiHesber"/>
        <w:rPr>
          <w:rtl/>
        </w:rPr>
      </w:pPr>
      <w:r w:rsidRPr="0027450A">
        <w:rPr>
          <w:rFonts w:hint="cs"/>
          <w:rtl/>
        </w:rPr>
        <w:lastRenderedPageBreak/>
        <w:t>דברי הסבר</w:t>
      </w:r>
    </w:p>
    <w:p w14:paraId="03CF061B" w14:textId="74DCB5AA" w:rsidR="007E2415" w:rsidRDefault="007E2415" w:rsidP="00024D45">
      <w:pPr>
        <w:pStyle w:val="Hesber"/>
        <w:rPr>
          <w:rtl/>
        </w:rPr>
      </w:pPr>
      <w:r>
        <w:rPr>
          <w:rFonts w:hint="cs"/>
          <w:rtl/>
        </w:rPr>
        <w:t>מדינת ישראל ניצבת מאז הקמתה בפני איומים חמורים ואתגרים ביטחוניים ולאומיים. לפני הקמת המדינה, גובשה תפיסת ביטחון לא רשמית על ידי ראש הממשלה הראשון דוד בן גוריון ז"ל. מאה שנים אחרי כתיבת מאמרו של זאב ז'בוטינסקי", "קיר הברזל", אותו תרגם דוד בן גוריון לאחד היסודות המרכזיים בתפיסת הביטחון של ישראל, ראוי שלמדינת ישראל תהיה תפיסת ביטחון פורמאלית. תפיסת הביטחון הלאומי הייתה ונותרה עניינו של המדינאי. היא דורשת ראייה לאומית כוללת, זיהוי של כלל האתגרים הנוכחיים והעתידיים וההתמודדות עימם. המסמך יהווה מצפן לחיזוק הביטחון הלאומי. האסטרטגיה הנגזרת ממנה, תהווה הכוונה והשראה לראשי המערכות האמונים על מרכיבי הביטחון הלאומי.</w:t>
      </w:r>
    </w:p>
    <w:p w14:paraId="3829F7DA" w14:textId="6807AF69" w:rsidR="007E2415" w:rsidRDefault="007E2415" w:rsidP="007E2415">
      <w:pPr>
        <w:pStyle w:val="Hesber"/>
        <w:rPr>
          <w:rtl/>
        </w:rPr>
      </w:pPr>
      <w:r>
        <w:rPr>
          <w:rFonts w:hint="cs"/>
          <w:rtl/>
        </w:rPr>
        <w:t>מטרת מסמך תפיסת הביטחון הלאומי שיהיה כלי בידיהם של מנהיגי המדינה ושל מעצבי המדיניות בבואם לקבוע כיצד תמומש המחויבות להבטיח את קיום המדינה כיהודית, דמוקרטית ומתקדמת, בעלת עוצמה ברוח מגילת העצמאות.</w:t>
      </w:r>
    </w:p>
    <w:p w14:paraId="7F6961CB" w14:textId="77777777" w:rsidR="00E13C27" w:rsidRDefault="00E13C27" w:rsidP="00BF555E">
      <w:pPr>
        <w:pStyle w:val="Hesber"/>
        <w:ind w:firstLine="0"/>
        <w:rPr>
          <w:rtl/>
        </w:rPr>
      </w:pPr>
    </w:p>
    <w:p w14:paraId="4B3ACEFE" w14:textId="77777777" w:rsidR="0018538C" w:rsidRDefault="00C8472D">
      <w:pPr>
        <w:spacing w:before="0" w:line="360" w:lineRule="auto"/>
        <w:jc w:val="left"/>
      </w:pPr>
      <w:bookmarkStart w:id="8" w:name="selectedDocDateB"/>
      <w:bookmarkEnd w:id="8"/>
      <w:r>
        <w:rPr>
          <w:rFonts w:ascii="David" w:eastAsia="David" w:hAnsi="David" w:cs="David" w:hint="cs"/>
          <w:sz w:val="26"/>
          <w:szCs w:val="26"/>
          <w:rtl/>
        </w:rPr>
        <w:t>--------------------------------</w:t>
      </w:r>
    </w:p>
    <w:p w14:paraId="2A23C895" w14:textId="77777777" w:rsidR="0018538C" w:rsidRDefault="00C8472D">
      <w:pPr>
        <w:spacing w:before="0" w:line="360" w:lineRule="auto"/>
        <w:jc w:val="left"/>
      </w:pPr>
      <w:r>
        <w:rPr>
          <w:rFonts w:ascii="David" w:eastAsia="David" w:hAnsi="David" w:cs="David" w:hint="cs"/>
          <w:sz w:val="26"/>
          <w:szCs w:val="26"/>
          <w:rtl/>
        </w:rPr>
        <w:t>הוגשה ליו"ר הכנסת והסגנים</w:t>
      </w:r>
    </w:p>
    <w:p w14:paraId="39D2BB98" w14:textId="77777777" w:rsidR="0018538C" w:rsidRDefault="00C8472D">
      <w:pPr>
        <w:spacing w:before="0" w:line="360" w:lineRule="auto"/>
        <w:jc w:val="left"/>
      </w:pPr>
      <w:r>
        <w:rPr>
          <w:rFonts w:ascii="David" w:eastAsia="David" w:hAnsi="David" w:cs="David" w:hint="cs"/>
          <w:sz w:val="26"/>
          <w:szCs w:val="26"/>
          <w:rtl/>
        </w:rPr>
        <w:t>והונחה על שולחן הכנסת ביום</w:t>
      </w:r>
    </w:p>
    <w:p w14:paraId="64738A49" w14:textId="77777777" w:rsidR="0018538C" w:rsidRDefault="00C8472D">
      <w:pPr>
        <w:spacing w:before="0" w:line="360" w:lineRule="auto"/>
        <w:jc w:val="left"/>
      </w:pPr>
      <w:r>
        <w:rPr>
          <w:rFonts w:ascii="David" w:eastAsia="David" w:hAnsi="David" w:cs="David" w:hint="cs"/>
          <w:sz w:val="26"/>
          <w:szCs w:val="26"/>
          <w:rtl/>
        </w:rPr>
        <w:t xml:space="preserve">ח' באב </w:t>
      </w:r>
      <w:proofErr w:type="spellStart"/>
      <w:r>
        <w:rPr>
          <w:rFonts w:ascii="David" w:eastAsia="David" w:hAnsi="David" w:cs="David" w:hint="cs"/>
          <w:sz w:val="26"/>
          <w:szCs w:val="26"/>
          <w:rtl/>
        </w:rPr>
        <w:t>התשפ"ג</w:t>
      </w:r>
      <w:proofErr w:type="spellEnd"/>
      <w:r>
        <w:rPr>
          <w:rFonts w:ascii="David" w:eastAsia="David" w:hAnsi="David" w:cs="David" w:hint="cs"/>
          <w:sz w:val="26"/>
          <w:szCs w:val="26"/>
          <w:rtl/>
        </w:rPr>
        <w:t xml:space="preserve"> (26.07.2023) </w:t>
      </w:r>
    </w:p>
    <w:p w14:paraId="63443890" w14:textId="77777777" w:rsidR="0018538C" w:rsidRDefault="0018538C">
      <w:pPr>
        <w:spacing w:before="0" w:line="276" w:lineRule="auto"/>
        <w:jc w:val="left"/>
      </w:pPr>
    </w:p>
    <w:sectPr w:rsidR="0018538C"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C8472D">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74C0" w14:textId="77777777" w:rsidR="00D142D3" w:rsidRDefault="00D142D3" w:rsidP="002C52B9">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64225D31" w14:textId="09E1410A" w:rsidR="00024D45" w:rsidRDefault="00024D45" w:rsidP="00024D45">
      <w:pPr>
        <w:pStyle w:val="a4"/>
      </w:pPr>
      <w:r>
        <w:rPr>
          <w:rStyle w:val="a5"/>
        </w:rPr>
        <w:footnoteRef/>
      </w:r>
      <w:r>
        <w:rPr>
          <w:rtl/>
        </w:rPr>
        <w:t xml:space="preserve"> </w:t>
      </w:r>
      <w:r>
        <w:rPr>
          <w:rFonts w:hint="cs"/>
          <w:rtl/>
        </w:rPr>
        <w:t>ס"ח התשס"ח, עמ' 833.</w:t>
      </w:r>
    </w:p>
  </w:footnote>
  <w:footnote w:id="3">
    <w:p w14:paraId="553F2AE4" w14:textId="77777777" w:rsidR="00024D45" w:rsidRDefault="00024D45" w:rsidP="00024D45">
      <w:pPr>
        <w:pStyle w:val="a4"/>
        <w:rPr>
          <w:rtl/>
        </w:rPr>
      </w:pPr>
      <w:r>
        <w:rPr>
          <w:rStyle w:val="a5"/>
        </w:rPr>
        <w:footnoteRef/>
      </w:r>
      <w:r>
        <w:rPr>
          <w:rtl/>
        </w:rPr>
        <w:t xml:space="preserve"> </w:t>
      </w:r>
      <w:r>
        <w:rPr>
          <w:rFonts w:hint="cs"/>
          <w:rtl/>
        </w:rPr>
        <w:t xml:space="preserve">ס"ח </w:t>
      </w:r>
      <w:proofErr w:type="spellStart"/>
      <w:r>
        <w:rPr>
          <w:rFonts w:hint="cs"/>
          <w:rtl/>
        </w:rPr>
        <w:t>התשס"א</w:t>
      </w:r>
      <w:proofErr w:type="spellEnd"/>
      <w:r>
        <w:rPr>
          <w:rFonts w:hint="cs"/>
          <w:rtl/>
        </w:rPr>
        <w:t>, עמ' 168.</w:t>
      </w:r>
    </w:p>
  </w:footnote>
  <w:footnote w:id="4">
    <w:p w14:paraId="735D4C22" w14:textId="77777777" w:rsidR="00024D45" w:rsidRDefault="00024D45" w:rsidP="00024D45">
      <w:pPr>
        <w:pStyle w:val="a4"/>
      </w:pPr>
      <w:r>
        <w:rPr>
          <w:rStyle w:val="a5"/>
        </w:rPr>
        <w:footnoteRef/>
      </w:r>
      <w:r>
        <w:rPr>
          <w:rtl/>
        </w:rPr>
        <w:t xml:space="preserve"> </w:t>
      </w:r>
      <w:r>
        <w:rPr>
          <w:rFonts w:hint="cs"/>
          <w:rtl/>
        </w:rPr>
        <w:t>ס"ח התשס"ח, עמ' 833..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4416824">
    <w:abstractNumId w:val="9"/>
  </w:num>
  <w:num w:numId="2" w16cid:durableId="690112913">
    <w:abstractNumId w:val="7"/>
  </w:num>
  <w:num w:numId="3" w16cid:durableId="1066756957">
    <w:abstractNumId w:val="6"/>
  </w:num>
  <w:num w:numId="4" w16cid:durableId="1752314498">
    <w:abstractNumId w:val="5"/>
  </w:num>
  <w:num w:numId="5" w16cid:durableId="785806255">
    <w:abstractNumId w:val="4"/>
  </w:num>
  <w:num w:numId="6" w16cid:durableId="1689331328">
    <w:abstractNumId w:val="8"/>
  </w:num>
  <w:num w:numId="7" w16cid:durableId="1220438489">
    <w:abstractNumId w:val="3"/>
  </w:num>
  <w:num w:numId="8" w16cid:durableId="349528191">
    <w:abstractNumId w:val="2"/>
  </w:num>
  <w:num w:numId="9" w16cid:durableId="193733227">
    <w:abstractNumId w:val="1"/>
  </w:num>
  <w:num w:numId="10" w16cid:durableId="1564019487">
    <w:abstractNumId w:val="0"/>
  </w:num>
  <w:num w:numId="11" w16cid:durableId="1879975331">
    <w:abstractNumId w:val="11"/>
  </w:num>
  <w:num w:numId="12" w16cid:durableId="1906183329">
    <w:abstractNumId w:val="12"/>
  </w:num>
  <w:num w:numId="13" w16cid:durableId="1966353841">
    <w:abstractNumId w:val="10"/>
  </w:num>
  <w:num w:numId="14" w16cid:durableId="6797714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Name" w:val="tmp482240lsCopyOriginal.docx"/>
    <w:docVar w:name="StartMode" w:val="2"/>
  </w:docVars>
  <w:rsids>
    <w:rsidRoot w:val="00DB7060"/>
    <w:rsid w:val="0000131B"/>
    <w:rsid w:val="00015B27"/>
    <w:rsid w:val="00024D45"/>
    <w:rsid w:val="00063A3E"/>
    <w:rsid w:val="00072CAC"/>
    <w:rsid w:val="0007681A"/>
    <w:rsid w:val="000A542E"/>
    <w:rsid w:val="00102B6B"/>
    <w:rsid w:val="001052D4"/>
    <w:rsid w:val="0010644B"/>
    <w:rsid w:val="001207F8"/>
    <w:rsid w:val="00121924"/>
    <w:rsid w:val="001279A8"/>
    <w:rsid w:val="0014195F"/>
    <w:rsid w:val="00152609"/>
    <w:rsid w:val="00153E1B"/>
    <w:rsid w:val="0018538C"/>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C52B9"/>
    <w:rsid w:val="002D1EE3"/>
    <w:rsid w:val="002F1D80"/>
    <w:rsid w:val="003232A2"/>
    <w:rsid w:val="00325C14"/>
    <w:rsid w:val="0036422C"/>
    <w:rsid w:val="003710F6"/>
    <w:rsid w:val="00386E88"/>
    <w:rsid w:val="00396585"/>
    <w:rsid w:val="003D6E38"/>
    <w:rsid w:val="003D74A0"/>
    <w:rsid w:val="003E0ECE"/>
    <w:rsid w:val="004033D8"/>
    <w:rsid w:val="004073F0"/>
    <w:rsid w:val="00412A7D"/>
    <w:rsid w:val="00416B4D"/>
    <w:rsid w:val="00417CFC"/>
    <w:rsid w:val="004A06DC"/>
    <w:rsid w:val="004B24ED"/>
    <w:rsid w:val="004B6625"/>
    <w:rsid w:val="004D2D82"/>
    <w:rsid w:val="004D3876"/>
    <w:rsid w:val="004E4552"/>
    <w:rsid w:val="004E6CDF"/>
    <w:rsid w:val="00531DBE"/>
    <w:rsid w:val="00553C9D"/>
    <w:rsid w:val="00562A66"/>
    <w:rsid w:val="005B064E"/>
    <w:rsid w:val="005D51AE"/>
    <w:rsid w:val="0062674B"/>
    <w:rsid w:val="006363B2"/>
    <w:rsid w:val="00644940"/>
    <w:rsid w:val="006818A9"/>
    <w:rsid w:val="006A2D81"/>
    <w:rsid w:val="006C1D0D"/>
    <w:rsid w:val="0070601E"/>
    <w:rsid w:val="00712C72"/>
    <w:rsid w:val="00735FE9"/>
    <w:rsid w:val="00750061"/>
    <w:rsid w:val="00763CAA"/>
    <w:rsid w:val="00763FAC"/>
    <w:rsid w:val="00765F66"/>
    <w:rsid w:val="0078664F"/>
    <w:rsid w:val="007A27CE"/>
    <w:rsid w:val="007C3FA6"/>
    <w:rsid w:val="007D585A"/>
    <w:rsid w:val="007D5A12"/>
    <w:rsid w:val="007E2415"/>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20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AD58FD"/>
    <w:rsid w:val="00B10265"/>
    <w:rsid w:val="00B16A99"/>
    <w:rsid w:val="00B21211"/>
    <w:rsid w:val="00B35784"/>
    <w:rsid w:val="00B733A7"/>
    <w:rsid w:val="00B75C91"/>
    <w:rsid w:val="00B975AD"/>
    <w:rsid w:val="00BC45FB"/>
    <w:rsid w:val="00BF148D"/>
    <w:rsid w:val="00BF555E"/>
    <w:rsid w:val="00C23B1A"/>
    <w:rsid w:val="00C310EB"/>
    <w:rsid w:val="00C8472D"/>
    <w:rsid w:val="00C9176A"/>
    <w:rsid w:val="00CD443C"/>
    <w:rsid w:val="00CF1AA2"/>
    <w:rsid w:val="00D142D3"/>
    <w:rsid w:val="00D17774"/>
    <w:rsid w:val="00D30C60"/>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33841"/>
    <w:rsid w:val="00F628D6"/>
    <w:rsid w:val="00F67051"/>
    <w:rsid w:val="00F86A1E"/>
    <w:rsid w:val="00FA5E88"/>
    <w:rsid w:val="00FC5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7D67C79A-57F2-492D-9709-591C00B7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6">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7">
    <w:name w:val="header"/>
    <w:basedOn w:val="a"/>
    <w:rsid w:val="00B975AD"/>
    <w:pPr>
      <w:tabs>
        <w:tab w:val="center" w:pos="4153"/>
        <w:tab w:val="right" w:pos="8306"/>
      </w:tabs>
    </w:pPr>
  </w:style>
  <w:style w:type="paragraph" w:styleId="a8">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C1B92DA1-FBD0-49C2-B467-4E66C198B9D3}">
  <ds:schemaRefs>
    <ds:schemaRef ds:uri="http://schemas.openxmlformats.org/officeDocument/2006/bibliography"/>
  </ds:schemaRefs>
</ds:datastoreItem>
</file>

<file path=customXml/itemProps3.xml><?xml version="1.0" encoding="utf-8"?>
<ds:datastoreItem xmlns:ds="http://schemas.openxmlformats.org/officeDocument/2006/customXml" ds:itemID="{88F4AFE3-9455-419C-8851-785A55F44517}">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290d5b49-c690-4c6f-bbb9-1e50dab33ee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276798-E58E-498A-A6A4-C730657D8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3043</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shabi gatenio</cp:lastModifiedBy>
  <cp:revision>2</cp:revision>
  <cp:lastPrinted>2023-07-24T13:38:00Z</cp:lastPrinted>
  <dcterms:created xsi:type="dcterms:W3CDTF">2023-10-11T13:05:00Z</dcterms:created>
  <dcterms:modified xsi:type="dcterms:W3CDTF">2023-10-11T13:05:00Z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2209112</vt:r8>
  </property>
</Properties>
</file>