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E635A2" w:rsidRDefault="004033D8" w:rsidP="00A25282">
      <w:pPr>
        <w:jc w:val="right"/>
        <w:rPr>
          <w:b/>
          <w:bCs/>
          <w:sz w:val="20"/>
          <w:szCs w:val="20"/>
        </w:rPr>
      </w:pPr>
      <w:r w:rsidRPr="00E635A2">
        <w:rPr>
          <w:rFonts w:hint="cs"/>
          <w:sz w:val="2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sz w:val="20"/>
          <w:szCs w:val="20"/>
          <w:rtl/>
        </w:rPr>
        <w:t>2198063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 וחמש</w:t>
      </w:r>
      <w:bookmarkEnd w:id="1"/>
    </w:p>
    <w:p w14:paraId="7F6961A3" w14:textId="77777777" w:rsidR="00E13C27" w:rsidRPr="00F67051" w:rsidRDefault="00E13C27" w:rsidP="00E13C27">
      <w:pPr>
        <w:rPr>
          <w:b/>
          <w:bCs/>
          <w:sz w:val="26"/>
          <w:szCs w:val="26"/>
          <w:rtl/>
        </w:rPr>
      </w:pPr>
    </w:p>
    <w:p w14:paraId="7F6961AA" w14:textId="06ECB8E9" w:rsidR="00E13C27" w:rsidRPr="00CF1AA2" w:rsidRDefault="008F6665" w:rsidP="00562A7C">
      <w:pPr>
        <w:pStyle w:val="David"/>
        <w:spacing w:before="102"/>
        <w:ind w:left="3544"/>
        <w:rPr>
          <w:b/>
          <w:bCs/>
          <w:sz w:val="16"/>
          <w:szCs w:val="16"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בועז ביסמוט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שלום דנינו</w:t>
      </w:r>
      <w:bookmarkStart w:id="4" w:name="LGS_Join_List"/>
      <w:bookmarkEnd w:id="3"/>
      <w:r w:rsidR="007D585A"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 w:rsidR="007D585A"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C" w14:textId="6998FF28" w:rsidR="00E13C27" w:rsidRDefault="00904591" w:rsidP="00562A7C">
      <w:pPr>
        <w:pStyle w:val="David"/>
        <w:spacing w:line="240" w:lineRule="auto"/>
        <w:ind w:left="6424" w:firstLine="56"/>
        <w:rPr>
          <w:rtl/>
        </w:rPr>
      </w:pPr>
      <w:bookmarkStart w:id="6" w:name="Private_Number"/>
      <w:r>
        <w:rPr>
          <w:rFonts w:hint="cs"/>
          <w:rtl/>
        </w:rPr>
        <w:t>פ/1343/25</w:t>
      </w:r>
      <w:bookmarkEnd w:id="6"/>
    </w:p>
    <w:p w14:paraId="7F6961AE" w14:textId="3EC15D67" w:rsidR="00E13C27" w:rsidRDefault="00A443CF" w:rsidP="00D0461D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>הצעת חוק הגנת הפרטיות (תיקון – איסור פרסום הקלטה של אדם), התשפ"ג–2023</w:t>
      </w:r>
      <w:bookmarkEnd w:id="7"/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3"/>
      </w:tblGrid>
      <w:tr w:rsidR="002F1D80" w14:paraId="035EEF3D" w14:textId="77777777" w:rsidTr="00562A7C">
        <w:trPr>
          <w:cantSplit/>
        </w:trPr>
        <w:tc>
          <w:tcPr>
            <w:tcW w:w="1871" w:type="dxa"/>
          </w:tcPr>
          <w:p w14:paraId="3863FF98" w14:textId="3F3D502B" w:rsidR="002F1D80" w:rsidRDefault="007F1CE6" w:rsidP="002C3041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תיקון סעיף 2</w:t>
            </w:r>
          </w:p>
        </w:tc>
        <w:tc>
          <w:tcPr>
            <w:tcW w:w="624" w:type="dxa"/>
          </w:tcPr>
          <w:p w14:paraId="6F513EF6" w14:textId="193DC6C0" w:rsidR="002F1D80" w:rsidRDefault="007F1CE6" w:rsidP="002C3041">
            <w:pPr>
              <w:pStyle w:val="TableText"/>
              <w:keepLines w:val="0"/>
            </w:pPr>
            <w:r>
              <w:rPr>
                <w:rFonts w:hint="cs"/>
                <w:rtl/>
              </w:rPr>
              <w:t xml:space="preserve">1. </w:t>
            </w:r>
          </w:p>
        </w:tc>
        <w:tc>
          <w:tcPr>
            <w:tcW w:w="7143" w:type="dxa"/>
          </w:tcPr>
          <w:p w14:paraId="1AE94DEB" w14:textId="0179D412" w:rsidR="002F1D80" w:rsidRPr="007F1CE6" w:rsidRDefault="007F1CE6" w:rsidP="00562A7C">
            <w:pPr>
              <w:pStyle w:val="TableBlock"/>
              <w:rPr>
                <w:b/>
                <w:bCs/>
              </w:rPr>
            </w:pPr>
            <w:r>
              <w:rPr>
                <w:rFonts w:hint="cs"/>
                <w:rtl/>
              </w:rPr>
              <w:t xml:space="preserve">בחוק הגנת הפרטיות, </w:t>
            </w:r>
            <w:proofErr w:type="spellStart"/>
            <w:r>
              <w:rPr>
                <w:rFonts w:hint="cs"/>
                <w:rtl/>
              </w:rPr>
              <w:t>התשמ"א</w:t>
            </w:r>
            <w:proofErr w:type="spellEnd"/>
            <w:r>
              <w:rPr>
                <w:rFonts w:hint="eastAsia"/>
                <w:rtl/>
              </w:rPr>
              <w:t>–</w:t>
            </w:r>
            <w:r>
              <w:rPr>
                <w:rFonts w:hint="cs"/>
                <w:rtl/>
              </w:rPr>
              <w:t>1981</w:t>
            </w:r>
            <w:r w:rsidRPr="00562A7C">
              <w:rPr>
                <w:rStyle w:val="a5"/>
                <w:rFonts w:ascii="David" w:hAnsi="David"/>
                <w:sz w:val="26"/>
                <w:rtl/>
              </w:rPr>
              <w:footnoteReference w:id="2"/>
            </w:r>
            <w:r>
              <w:rPr>
                <w:rFonts w:hint="cs"/>
                <w:rtl/>
              </w:rPr>
              <w:t xml:space="preserve"> </w:t>
            </w:r>
            <w:r w:rsidR="009B347A">
              <w:rPr>
                <w:rFonts w:hint="cs"/>
                <w:rtl/>
              </w:rPr>
              <w:t xml:space="preserve">(להלן </w:t>
            </w:r>
            <w:r w:rsidR="009B347A">
              <w:rPr>
                <w:rtl/>
              </w:rPr>
              <w:t>–</w:t>
            </w:r>
            <w:r w:rsidR="009B347A">
              <w:rPr>
                <w:rFonts w:hint="cs"/>
                <w:rtl/>
              </w:rPr>
              <w:t xml:space="preserve"> החוק העיקרי)</w:t>
            </w:r>
            <w:r w:rsidR="00030BB5">
              <w:rPr>
                <w:rFonts w:hint="cs"/>
                <w:rtl/>
              </w:rPr>
              <w:t>,</w:t>
            </w:r>
            <w:r w:rsidR="009B347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בסעיף 2, אחרי פרט (2) יבוא </w:t>
            </w:r>
            <w:r>
              <w:rPr>
                <w:rtl/>
              </w:rPr>
              <w:t>–</w:t>
            </w:r>
          </w:p>
        </w:tc>
      </w:tr>
      <w:tr w:rsidR="002F1D80" w14:paraId="3D9B61D1" w14:textId="77777777" w:rsidTr="00562A7C">
        <w:trPr>
          <w:cantSplit/>
        </w:trPr>
        <w:tc>
          <w:tcPr>
            <w:tcW w:w="1871" w:type="dxa"/>
          </w:tcPr>
          <w:p w14:paraId="6C0CB9D8" w14:textId="442D0D27" w:rsidR="002F1D80" w:rsidRDefault="002F1D80" w:rsidP="002C3041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3F4286A2" w14:textId="77777777" w:rsidR="002F1D80" w:rsidRDefault="002F1D80" w:rsidP="002C3041">
            <w:pPr>
              <w:pStyle w:val="TableText"/>
              <w:keepLines w:val="0"/>
            </w:pPr>
          </w:p>
        </w:tc>
        <w:tc>
          <w:tcPr>
            <w:tcW w:w="7143" w:type="dxa"/>
          </w:tcPr>
          <w:p w14:paraId="7633D5BB" w14:textId="091EA794" w:rsidR="002F1D80" w:rsidRPr="00C34DE2" w:rsidRDefault="007F1CE6" w:rsidP="00562A7C">
            <w:pPr>
              <w:pStyle w:val="TableBlock"/>
            </w:pPr>
            <w:r>
              <w:rPr>
                <w:rFonts w:hint="cs"/>
                <w:rtl/>
              </w:rPr>
              <w:t>"(2א)</w:t>
            </w:r>
            <w:r w:rsidR="00030BB5">
              <w:rPr>
                <w:rtl/>
              </w:rPr>
              <w:tab/>
            </w:r>
            <w:r w:rsidR="004C3902">
              <w:rPr>
                <w:rFonts w:hint="cs"/>
                <w:rtl/>
              </w:rPr>
              <w:t>פרסום הקלטה של אדם ברבים הנוגעת למידע רגיש</w:t>
            </w:r>
            <w:r w:rsidR="009B347A">
              <w:rPr>
                <w:rFonts w:hint="cs"/>
                <w:rtl/>
              </w:rPr>
              <w:t xml:space="preserve"> כהגדרתו בפרק ב' לחוק</w:t>
            </w:r>
            <w:r w:rsidR="004C3902">
              <w:rPr>
                <w:rFonts w:hint="cs"/>
                <w:rtl/>
              </w:rPr>
              <w:t>.</w:t>
            </w:r>
            <w:r w:rsidR="009B347A">
              <w:rPr>
                <w:rFonts w:hint="cs"/>
                <w:rtl/>
              </w:rPr>
              <w:t>"</w:t>
            </w:r>
          </w:p>
        </w:tc>
      </w:tr>
      <w:tr w:rsidR="009B347A" w14:paraId="4FB8B047" w14:textId="77777777" w:rsidTr="00562A7C">
        <w:trPr>
          <w:cantSplit/>
        </w:trPr>
        <w:tc>
          <w:tcPr>
            <w:tcW w:w="1871" w:type="dxa"/>
          </w:tcPr>
          <w:p w14:paraId="27EF652C" w14:textId="577CE072" w:rsidR="009B347A" w:rsidRDefault="00E733A8" w:rsidP="002C3041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תיקון סעיף 5</w:t>
            </w:r>
          </w:p>
        </w:tc>
        <w:tc>
          <w:tcPr>
            <w:tcW w:w="624" w:type="dxa"/>
          </w:tcPr>
          <w:p w14:paraId="260909A6" w14:textId="02354435" w:rsidR="009B347A" w:rsidRDefault="00E733A8" w:rsidP="002C3041">
            <w:pPr>
              <w:pStyle w:val="TableText"/>
              <w:keepLines w:val="0"/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7143" w:type="dxa"/>
          </w:tcPr>
          <w:p w14:paraId="43C3F5C7" w14:textId="5D0B1A34" w:rsidR="009B347A" w:rsidRDefault="009B347A" w:rsidP="00562A7C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בסעיף </w:t>
            </w:r>
            <w:r w:rsidR="00D0461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5</w:t>
            </w:r>
            <w:r w:rsidR="00D0461D">
              <w:rPr>
                <w:rFonts w:hint="cs"/>
                <w:rtl/>
              </w:rPr>
              <w:t xml:space="preserve"> לחוק העיקרי</w:t>
            </w:r>
            <w:r>
              <w:rPr>
                <w:rFonts w:hint="cs"/>
                <w:rtl/>
              </w:rPr>
              <w:t>, אחרי "2(1)" יבוא "2(2א)".</w:t>
            </w:r>
          </w:p>
        </w:tc>
      </w:tr>
    </w:tbl>
    <w:p w14:paraId="1AF0A612" w14:textId="12443A02" w:rsidR="00D00F49" w:rsidRDefault="00D0461D" w:rsidP="00D0461D">
      <w:pPr>
        <w:pStyle w:val="HeadDivreiHesber"/>
        <w:rPr>
          <w:rtl/>
        </w:rPr>
      </w:pPr>
      <w:r>
        <w:rPr>
          <w:rFonts w:hint="cs"/>
          <w:rtl/>
        </w:rPr>
        <w:t>דברי ה</w:t>
      </w:r>
      <w:r w:rsidR="00D00F49" w:rsidRPr="0027450A">
        <w:rPr>
          <w:rFonts w:hint="cs"/>
          <w:rtl/>
        </w:rPr>
        <w:t>סבר</w:t>
      </w:r>
    </w:p>
    <w:p w14:paraId="1D1FCEEB" w14:textId="39C962AC" w:rsidR="00D00F49" w:rsidRPr="00153492" w:rsidRDefault="00D00F49" w:rsidP="00562A7C">
      <w:pPr>
        <w:pStyle w:val="Hesber"/>
        <w:spacing w:line="276" w:lineRule="auto"/>
        <w:rPr>
          <w:rtl/>
        </w:rPr>
      </w:pPr>
      <w:bookmarkStart w:id="8" w:name="_GoBack"/>
      <w:r w:rsidRPr="00DF15AE">
        <w:rPr>
          <w:rFonts w:hint="cs"/>
          <w:rtl/>
        </w:rPr>
        <w:t xml:space="preserve">  </w:t>
      </w:r>
      <w:r>
        <w:rPr>
          <w:rFonts w:hint="cs"/>
          <w:rtl/>
        </w:rPr>
        <w:t xml:space="preserve">חוק הגנת הפרטיות, </w:t>
      </w:r>
      <w:proofErr w:type="spellStart"/>
      <w:r>
        <w:rPr>
          <w:rFonts w:hint="cs"/>
          <w:rtl/>
        </w:rPr>
        <w:t>התשמ"א</w:t>
      </w:r>
      <w:proofErr w:type="spellEnd"/>
      <w:r>
        <w:rPr>
          <w:rtl/>
        </w:rPr>
        <w:softHyphen/>
      </w:r>
      <w:r>
        <w:rPr>
          <w:rFonts w:hint="eastAsia"/>
          <w:rtl/>
        </w:rPr>
        <w:t>–</w:t>
      </w:r>
      <w:r>
        <w:rPr>
          <w:rFonts w:hint="cs"/>
          <w:rtl/>
        </w:rPr>
        <w:t xml:space="preserve">1981 קובע בסעיף 2 לחוק מהי פגיעה בפרטיות. לפי הסעיף, פגיעה בפרטיות כוללת מגוון רחב של מעשים </w:t>
      </w:r>
      <w:r w:rsidR="005A681A">
        <w:rPr>
          <w:rFonts w:hint="cs"/>
          <w:rtl/>
        </w:rPr>
        <w:t>ש</w:t>
      </w:r>
      <w:r>
        <w:rPr>
          <w:rFonts w:hint="cs"/>
          <w:rtl/>
        </w:rPr>
        <w:t>ביניהם</w:t>
      </w:r>
      <w:r w:rsidR="005A681A">
        <w:rPr>
          <w:rFonts w:hint="cs"/>
          <w:rtl/>
        </w:rPr>
        <w:t>:</w:t>
      </w:r>
      <w:r>
        <w:rPr>
          <w:rFonts w:hint="cs"/>
          <w:rtl/>
        </w:rPr>
        <w:t xml:space="preserve"> בילוש, האזנה אסורה על פי חוק, צילום אדם ברשות היחיד, </w:t>
      </w:r>
      <w:r w:rsidRPr="00BA3F12">
        <w:rPr>
          <w:rFonts w:hint="cs"/>
          <w:rtl/>
        </w:rPr>
        <w:t>פרסום תצלומו של אדם ברבים בנסיבות שהפרסום עלול להשפילו, הפרה של חובת סודיות שנקבעה בדין או בהסכם, פרסומים הנוגעים לצנעת חייו האישיים של אדם ושימוש בידיעה על ענייניו הפרטיים של א</w:t>
      </w:r>
      <w:r w:rsidRPr="00153492">
        <w:rPr>
          <w:rFonts w:hint="cs"/>
          <w:rtl/>
        </w:rPr>
        <w:t>דם שלא למטרה שלשמה נמסרה. כמ</w:t>
      </w:r>
      <w:r w:rsidR="00D0461D">
        <w:rPr>
          <w:rFonts w:hint="cs"/>
          <w:rtl/>
        </w:rPr>
        <w:t xml:space="preserve">ו כן, </w:t>
      </w:r>
      <w:r>
        <w:rPr>
          <w:rFonts w:hint="cs"/>
          <w:rtl/>
        </w:rPr>
        <w:t>סעיף 4</w:t>
      </w:r>
      <w:r w:rsidRPr="00153492">
        <w:rPr>
          <w:rFonts w:hint="cs"/>
          <w:rtl/>
        </w:rPr>
        <w:t xml:space="preserve"> </w:t>
      </w:r>
      <w:r w:rsidR="00D0461D">
        <w:rPr>
          <w:rFonts w:hint="cs"/>
          <w:rtl/>
        </w:rPr>
        <w:t xml:space="preserve">לחוק קובע </w:t>
      </w:r>
      <w:r w:rsidRPr="00153492">
        <w:rPr>
          <w:rFonts w:hint="cs"/>
          <w:rtl/>
        </w:rPr>
        <w:t>כי פגיע</w:t>
      </w:r>
      <w:r w:rsidR="00D0461D">
        <w:rPr>
          <w:rFonts w:hint="cs"/>
          <w:rtl/>
        </w:rPr>
        <w:t>ה בפרטיות מהווה עוולה אזרחית, וסעיף 5 קובע</w:t>
      </w:r>
      <w:r w:rsidRPr="00153492">
        <w:rPr>
          <w:rFonts w:hint="cs"/>
          <w:rtl/>
        </w:rPr>
        <w:t xml:space="preserve"> כי חלק </w:t>
      </w:r>
      <w:r>
        <w:rPr>
          <w:rFonts w:hint="cs"/>
          <w:rtl/>
        </w:rPr>
        <w:t>מן המעשים המהווים פגיעה בפרטיות</w:t>
      </w:r>
      <w:r>
        <w:t xml:space="preserve"> </w:t>
      </w:r>
      <w:r>
        <w:rPr>
          <w:rFonts w:hint="cs"/>
          <w:rtl/>
        </w:rPr>
        <w:t xml:space="preserve"> מהווים </w:t>
      </w:r>
      <w:r w:rsidR="00030BB5">
        <w:rPr>
          <w:rFonts w:hint="cs"/>
          <w:rtl/>
        </w:rPr>
        <w:t xml:space="preserve">גם </w:t>
      </w:r>
      <w:r>
        <w:rPr>
          <w:rFonts w:hint="cs"/>
          <w:rtl/>
        </w:rPr>
        <w:t>עבירה פלילית</w:t>
      </w:r>
      <w:r w:rsidRPr="00153492">
        <w:rPr>
          <w:rFonts w:hint="cs"/>
          <w:rtl/>
        </w:rPr>
        <w:t xml:space="preserve">. </w:t>
      </w:r>
    </w:p>
    <w:p w14:paraId="04D8065F" w14:textId="21BC8606" w:rsidR="00D00F49" w:rsidRDefault="00D0461D" w:rsidP="00562A7C">
      <w:pPr>
        <w:pStyle w:val="Hesber"/>
        <w:spacing w:line="276" w:lineRule="auto"/>
        <w:rPr>
          <w:rtl/>
        </w:rPr>
      </w:pPr>
      <w:r>
        <w:rPr>
          <w:rFonts w:hint="cs"/>
          <w:rtl/>
        </w:rPr>
        <w:t xml:space="preserve">על פי נוסח החוק כיום, </w:t>
      </w:r>
      <w:r w:rsidR="00D00F49" w:rsidRPr="00153492">
        <w:rPr>
          <w:rFonts w:hint="cs"/>
          <w:rtl/>
        </w:rPr>
        <w:t xml:space="preserve">על אף </w:t>
      </w:r>
      <w:r>
        <w:rPr>
          <w:rFonts w:hint="cs"/>
          <w:rtl/>
        </w:rPr>
        <w:t>שיש מגוון רחב של התנהגויות שנחשבות פגיעה בפרטיות</w:t>
      </w:r>
      <w:r w:rsidR="00D00F49" w:rsidRPr="00153492">
        <w:rPr>
          <w:rFonts w:hint="cs"/>
          <w:rtl/>
        </w:rPr>
        <w:t xml:space="preserve"> ו</w:t>
      </w:r>
      <w:r>
        <w:rPr>
          <w:rFonts w:hint="cs"/>
          <w:rtl/>
        </w:rPr>
        <w:t xml:space="preserve">ישנם </w:t>
      </w:r>
      <w:r w:rsidR="00D00F49" w:rsidRPr="00153492">
        <w:rPr>
          <w:rFonts w:hint="cs"/>
          <w:rtl/>
        </w:rPr>
        <w:t>סעדים</w:t>
      </w:r>
      <w:r>
        <w:rPr>
          <w:rFonts w:hint="cs"/>
          <w:rtl/>
        </w:rPr>
        <w:t xml:space="preserve"> שונים </w:t>
      </w:r>
      <w:r w:rsidR="00D00F49" w:rsidRPr="00153492">
        <w:rPr>
          <w:rFonts w:hint="cs"/>
          <w:rtl/>
        </w:rPr>
        <w:t>למי שחדרו לפרטיותו, פרסום הקלטה של אדם ברבים הנוגעת למידע רגיש כהגדרתו בפרק ב' לחוק שלא בהסכמת</w:t>
      </w:r>
      <w:r w:rsidR="00030BB5">
        <w:rPr>
          <w:rFonts w:hint="cs"/>
          <w:rtl/>
        </w:rPr>
        <w:t>ו</w:t>
      </w:r>
      <w:r w:rsidR="00D00F49" w:rsidRPr="00153492">
        <w:rPr>
          <w:rFonts w:hint="cs"/>
          <w:rtl/>
        </w:rPr>
        <w:t xml:space="preserve"> לא מעוגנת באופן ישיר כמעשה המהווה פגיעה בפרטיות</w:t>
      </w:r>
      <w:r>
        <w:rPr>
          <w:rFonts w:hint="cs"/>
          <w:rtl/>
        </w:rPr>
        <w:t xml:space="preserve"> ומקנה סעד</w:t>
      </w:r>
      <w:r w:rsidR="00D00F49" w:rsidRPr="00153492">
        <w:rPr>
          <w:rFonts w:hint="cs"/>
          <w:rtl/>
        </w:rPr>
        <w:t>. מדובר במצב בעייתי משום שהיכולת הטכנולוגית להקליט שיחות צריכה לשמש בעיקרה לשימור מידע לצרכ</w:t>
      </w:r>
      <w:r>
        <w:rPr>
          <w:rFonts w:hint="cs"/>
          <w:rtl/>
        </w:rPr>
        <w:t xml:space="preserve">ים אישיים ולא לשם פרסומה ברבים באופן שעלול לפגוע בפרטיותו של אדם. </w:t>
      </w:r>
    </w:p>
    <w:p w14:paraId="6851C0B2" w14:textId="586E4F12" w:rsidR="00D00F49" w:rsidRPr="00153492" w:rsidRDefault="00D00F49" w:rsidP="00562A7C">
      <w:pPr>
        <w:pStyle w:val="Hesber"/>
        <w:spacing w:line="276" w:lineRule="auto"/>
        <w:rPr>
          <w:rtl/>
        </w:rPr>
      </w:pPr>
      <w:r w:rsidRPr="00153492">
        <w:rPr>
          <w:rFonts w:hint="cs"/>
          <w:rtl/>
        </w:rPr>
        <w:t xml:space="preserve">לפיכך, מוצע להוסיף להגדרה של מהי פגיעה בפרטיות גם מעשה </w:t>
      </w:r>
      <w:r w:rsidR="00D0461D">
        <w:rPr>
          <w:rFonts w:hint="cs"/>
          <w:rtl/>
        </w:rPr>
        <w:t>של פרסום הקלטה של אדם ברבים כפי שפורט לעיל</w:t>
      </w:r>
      <w:r w:rsidRPr="00153492">
        <w:rPr>
          <w:rFonts w:hint="cs"/>
          <w:rtl/>
        </w:rPr>
        <w:t xml:space="preserve">. בהתאם, מוצע </w:t>
      </w:r>
      <w:r w:rsidR="00D0461D">
        <w:rPr>
          <w:rFonts w:hint="cs"/>
          <w:rtl/>
        </w:rPr>
        <w:t>גם לקבוע כי</w:t>
      </w:r>
      <w:r w:rsidRPr="00153492">
        <w:rPr>
          <w:rFonts w:hint="cs"/>
          <w:rtl/>
        </w:rPr>
        <w:t xml:space="preserve"> מעשה זה יהווה עוולה אזרחית ועב</w:t>
      </w:r>
      <w:r w:rsidR="00030BB5">
        <w:rPr>
          <w:rFonts w:hint="cs"/>
          <w:rtl/>
        </w:rPr>
        <w:t>י</w:t>
      </w:r>
      <w:r w:rsidRPr="00153492">
        <w:rPr>
          <w:rFonts w:hint="cs"/>
          <w:rtl/>
        </w:rPr>
        <w:t xml:space="preserve">רה פלילית. </w:t>
      </w:r>
    </w:p>
    <w:p w14:paraId="07586247" w14:textId="77777777" w:rsidR="00D00F49" w:rsidRDefault="00D00F49" w:rsidP="00562A7C">
      <w:pPr>
        <w:pStyle w:val="Hesber"/>
        <w:spacing w:line="276" w:lineRule="auto"/>
        <w:ind w:firstLine="0"/>
        <w:rPr>
          <w:rtl/>
        </w:rPr>
      </w:pPr>
    </w:p>
    <w:p w14:paraId="43E28663" w14:textId="77777777" w:rsidR="0025709B" w:rsidRDefault="00562A7C" w:rsidP="00562A7C">
      <w:pPr>
        <w:spacing w:line="276" w:lineRule="auto"/>
        <w:jc w:val="left"/>
      </w:pPr>
      <w:bookmarkStart w:id="9" w:name="selectedDocDateB"/>
      <w:bookmarkEnd w:id="9"/>
      <w:r>
        <w:rPr>
          <w:rFonts w:eastAsia="David" w:hint="cs"/>
          <w:sz w:val="26"/>
          <w:szCs w:val="26"/>
          <w:rtl/>
        </w:rPr>
        <w:t>--------------------------------</w:t>
      </w:r>
    </w:p>
    <w:p w14:paraId="644A6D16" w14:textId="77777777" w:rsidR="0025709B" w:rsidRDefault="00562A7C" w:rsidP="00562A7C">
      <w:pPr>
        <w:spacing w:line="276" w:lineRule="auto"/>
        <w:jc w:val="left"/>
      </w:pPr>
      <w:r>
        <w:rPr>
          <w:rFonts w:eastAsia="David" w:hint="cs"/>
          <w:sz w:val="26"/>
          <w:szCs w:val="26"/>
          <w:rtl/>
        </w:rPr>
        <w:t>הוגשה ליו"ר הכנסת והסגנים</w:t>
      </w:r>
    </w:p>
    <w:p w14:paraId="1647DF21" w14:textId="77777777" w:rsidR="0025709B" w:rsidRDefault="00562A7C" w:rsidP="00562A7C">
      <w:pPr>
        <w:spacing w:line="276" w:lineRule="auto"/>
        <w:jc w:val="left"/>
      </w:pPr>
      <w:r>
        <w:rPr>
          <w:rFonts w:eastAsia="David" w:hint="cs"/>
          <w:sz w:val="26"/>
          <w:szCs w:val="26"/>
          <w:rtl/>
        </w:rPr>
        <w:t>והונחה על שולחן הכנסת ביום</w:t>
      </w:r>
    </w:p>
    <w:p w14:paraId="5E47AB4F" w14:textId="77777777" w:rsidR="0025709B" w:rsidRDefault="00562A7C" w:rsidP="00562A7C">
      <w:pPr>
        <w:spacing w:line="276" w:lineRule="auto"/>
        <w:jc w:val="left"/>
      </w:pPr>
      <w:r>
        <w:rPr>
          <w:rFonts w:eastAsia="David" w:hint="cs"/>
          <w:sz w:val="26"/>
          <w:szCs w:val="26"/>
          <w:rtl/>
        </w:rPr>
        <w:t>ט"ז</w:t>
      </w:r>
      <w:r>
        <w:rPr>
          <w:rFonts w:eastAsia="David" w:hint="cs"/>
          <w:sz w:val="26"/>
          <w:szCs w:val="26"/>
          <w:rtl/>
        </w:rPr>
        <w:t xml:space="preserve"> בטבת התשפ"ג (09.01.2023) </w:t>
      </w:r>
    </w:p>
    <w:bookmarkEnd w:id="8"/>
    <w:p w14:paraId="7E83E9FC" w14:textId="77777777" w:rsidR="0025709B" w:rsidRDefault="0025709B"/>
    <w:sectPr w:rsidR="0025709B" w:rsidSect="00562A7C">
      <w:footerReference w:type="even" r:id="rId11"/>
      <w:footerReference w:type="default" r:id="rId12"/>
      <w:pgSz w:w="11907" w:h="16840" w:code="9"/>
      <w:pgMar w:top="1701" w:right="1134" w:bottom="1417" w:left="1134" w:header="680" w:footer="680" w:gutter="0"/>
      <w:cols w:space="720"/>
      <w:noEndnote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6B4C1" w14:textId="77777777" w:rsidR="00D142D3" w:rsidRDefault="00D142D3">
      <w:r>
        <w:separator/>
      </w:r>
    </w:p>
  </w:endnote>
  <w:endnote w:type="continuationSeparator" w:id="0">
    <w:p w14:paraId="0E546755" w14:textId="77777777" w:rsidR="00D142D3" w:rsidRDefault="00D142D3">
      <w:r>
        <w:continuationSeparator/>
      </w:r>
    </w:p>
  </w:endnote>
  <w:endnote w:type="continuationNotice" w:id="1">
    <w:p w14:paraId="24369900" w14:textId="77777777" w:rsidR="00D142D3" w:rsidRDefault="00D142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562A7C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674C0" w14:textId="77777777" w:rsidR="00D142D3" w:rsidRDefault="00D142D3" w:rsidP="00562A7C">
      <w:pPr>
        <w:ind w:left="0"/>
      </w:pPr>
      <w:r>
        <w:separator/>
      </w:r>
    </w:p>
  </w:footnote>
  <w:footnote w:type="continuationSeparator" w:id="0">
    <w:p w14:paraId="401CF485" w14:textId="77777777" w:rsidR="00D142D3" w:rsidRDefault="00D142D3">
      <w:r>
        <w:continuationSeparator/>
      </w:r>
    </w:p>
  </w:footnote>
  <w:footnote w:type="continuationNotice" w:id="1">
    <w:p w14:paraId="173A6451" w14:textId="77777777" w:rsidR="00D142D3" w:rsidRDefault="00D142D3"/>
  </w:footnote>
  <w:footnote w:id="2">
    <w:p w14:paraId="49C53BDD" w14:textId="37FD5EA3" w:rsidR="007F1CE6" w:rsidRDefault="007F1CE6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התשמ"א</w:t>
      </w:r>
      <w:proofErr w:type="spellEnd"/>
      <w:r>
        <w:rPr>
          <w:rFonts w:hint="cs"/>
          <w:rtl/>
        </w:rPr>
        <w:t xml:space="preserve">, עמ' 128.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30BB5"/>
    <w:rsid w:val="00063A3E"/>
    <w:rsid w:val="00072CAC"/>
    <w:rsid w:val="0007681A"/>
    <w:rsid w:val="00096793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5709B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11231"/>
    <w:rsid w:val="003232A2"/>
    <w:rsid w:val="00325C14"/>
    <w:rsid w:val="003434C1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22E74"/>
    <w:rsid w:val="004A06DC"/>
    <w:rsid w:val="004A088B"/>
    <w:rsid w:val="004B24ED"/>
    <w:rsid w:val="004B6625"/>
    <w:rsid w:val="004C3902"/>
    <w:rsid w:val="004D2D82"/>
    <w:rsid w:val="004D3876"/>
    <w:rsid w:val="004E4552"/>
    <w:rsid w:val="004E6CDF"/>
    <w:rsid w:val="00553C9D"/>
    <w:rsid w:val="00562A66"/>
    <w:rsid w:val="00562A7C"/>
    <w:rsid w:val="005A681A"/>
    <w:rsid w:val="005B064E"/>
    <w:rsid w:val="005D51AE"/>
    <w:rsid w:val="0062674B"/>
    <w:rsid w:val="006363B2"/>
    <w:rsid w:val="00644940"/>
    <w:rsid w:val="006818A9"/>
    <w:rsid w:val="006A2D81"/>
    <w:rsid w:val="006C1D0D"/>
    <w:rsid w:val="007042DD"/>
    <w:rsid w:val="0070601E"/>
    <w:rsid w:val="00712C72"/>
    <w:rsid w:val="00735FE9"/>
    <w:rsid w:val="00763CAA"/>
    <w:rsid w:val="00765F66"/>
    <w:rsid w:val="0078664F"/>
    <w:rsid w:val="007A27CE"/>
    <w:rsid w:val="007C3FA6"/>
    <w:rsid w:val="007D585A"/>
    <w:rsid w:val="007D5A12"/>
    <w:rsid w:val="007E59F9"/>
    <w:rsid w:val="007F1CE6"/>
    <w:rsid w:val="00810BCD"/>
    <w:rsid w:val="00812C98"/>
    <w:rsid w:val="00814D92"/>
    <w:rsid w:val="0082787B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86D02"/>
    <w:rsid w:val="009A0DB8"/>
    <w:rsid w:val="009A7257"/>
    <w:rsid w:val="009B347A"/>
    <w:rsid w:val="009D6E0A"/>
    <w:rsid w:val="009E1E33"/>
    <w:rsid w:val="00A14672"/>
    <w:rsid w:val="00A25282"/>
    <w:rsid w:val="00A26BD6"/>
    <w:rsid w:val="00A443CF"/>
    <w:rsid w:val="00A5415C"/>
    <w:rsid w:val="00A6611D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14B50"/>
    <w:rsid w:val="00C23B1A"/>
    <w:rsid w:val="00C310EB"/>
    <w:rsid w:val="00C9176A"/>
    <w:rsid w:val="00CF1AA2"/>
    <w:rsid w:val="00D00F49"/>
    <w:rsid w:val="00D0461D"/>
    <w:rsid w:val="00D142D3"/>
    <w:rsid w:val="00D17774"/>
    <w:rsid w:val="00D63620"/>
    <w:rsid w:val="00D8410D"/>
    <w:rsid w:val="00D867D7"/>
    <w:rsid w:val="00DA2AF6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5A2"/>
    <w:rsid w:val="00E63D38"/>
    <w:rsid w:val="00E665B9"/>
    <w:rsid w:val="00E733A8"/>
    <w:rsid w:val="00EA01E6"/>
    <w:rsid w:val="00EA3DE8"/>
    <w:rsid w:val="00EA758F"/>
    <w:rsid w:val="00ED4A6F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EF06EB19-AD88-47AF-9960-B7247B74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7C"/>
    <w:pPr>
      <w:widowControl w:val="0"/>
      <w:bidi/>
      <w:spacing w:line="360" w:lineRule="auto"/>
      <w:ind w:left="340"/>
      <w:contextualSpacing/>
      <w:jc w:val="both"/>
    </w:pPr>
    <w:rPr>
      <w:rFonts w:ascii="David" w:eastAsiaTheme="minorHAnsi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2A7C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562A7C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562A7C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562A7C"/>
    <w:pPr>
      <w:numPr>
        <w:numId w:val="18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62A7C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  <w:rsid w:val="00562A7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62A7C"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562A7C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562A7C"/>
    <w:rPr>
      <w:sz w:val="36"/>
      <w:szCs w:val="52"/>
    </w:rPr>
  </w:style>
  <w:style w:type="paragraph" w:customStyle="1" w:styleId="Cover3-Haknesset">
    <w:name w:val="Cover 3-Haknesset"/>
    <w:basedOn w:val="Cover1-Reshumot"/>
    <w:rsid w:val="00562A7C"/>
    <w:rPr>
      <w:b/>
      <w:bCs/>
      <w:spacing w:val="60"/>
    </w:rPr>
  </w:style>
  <w:style w:type="paragraph" w:customStyle="1" w:styleId="Cover4-Date">
    <w:name w:val="Cover 4-Date"/>
    <w:basedOn w:val="a"/>
    <w:rsid w:val="00562A7C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562A7C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562A7C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4Futer">
    <w:name w:val="Head HatzaotHok4Futer"/>
    <w:basedOn w:val="HeadHatzaotHok"/>
    <w:rsid w:val="00562A7C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562A7C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562A7C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562A7C"/>
    <w:pPr>
      <w:outlineLvl w:val="2"/>
    </w:pPr>
  </w:style>
  <w:style w:type="paragraph" w:customStyle="1" w:styleId="TableBlock">
    <w:name w:val="Table Block"/>
    <w:basedOn w:val="TableText"/>
    <w:rsid w:val="00562A7C"/>
    <w:pPr>
      <w:jc w:val="both"/>
    </w:pPr>
  </w:style>
  <w:style w:type="paragraph" w:customStyle="1" w:styleId="TableHead">
    <w:name w:val="Table Head"/>
    <w:basedOn w:val="TableText"/>
    <w:rsid w:val="00562A7C"/>
    <w:pPr>
      <w:jc w:val="center"/>
      <w:outlineLvl w:val="1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562A7C"/>
    <w:pPr>
      <w:outlineLvl w:val="9"/>
    </w:pPr>
  </w:style>
  <w:style w:type="paragraph" w:customStyle="1" w:styleId="Hesber">
    <w:name w:val="Hesber"/>
    <w:basedOn w:val="a"/>
    <w:rsid w:val="00562A7C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4">
    <w:name w:val="footnote text"/>
    <w:basedOn w:val="a"/>
    <w:autoRedefine/>
    <w:semiHidden/>
    <w:rsid w:val="00562A7C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styleId="a5">
    <w:name w:val="footnote reference"/>
    <w:aliases w:val="Footnote Reference"/>
    <w:basedOn w:val="a0"/>
    <w:semiHidden/>
    <w:rsid w:val="00562A7C"/>
    <w:rPr>
      <w:vertAlign w:val="superscript"/>
    </w:rPr>
  </w:style>
  <w:style w:type="paragraph" w:customStyle="1" w:styleId="HesberHeading">
    <w:name w:val="Hesber Heading"/>
    <w:basedOn w:val="Hesber"/>
    <w:rsid w:val="00562A7C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562A7C"/>
    <w:pPr>
      <w:spacing w:before="120" w:after="120"/>
      <w:ind w:left="1418"/>
      <w:jc w:val="right"/>
    </w:pPr>
    <w:rPr>
      <w:b/>
      <w:bCs/>
    </w:rPr>
  </w:style>
  <w:style w:type="paragraph" w:customStyle="1" w:styleId="Hesber1st">
    <w:name w:val="Hesber 1st"/>
    <w:basedOn w:val="Hesber"/>
    <w:rsid w:val="00562A7C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562A7C"/>
    <w:rPr>
      <w:vertAlign w:val="superscript"/>
    </w:rPr>
  </w:style>
  <w:style w:type="paragraph" w:customStyle="1" w:styleId="TableBlockOutdent">
    <w:name w:val="Table BlockOutdent"/>
    <w:basedOn w:val="TableBlock"/>
    <w:rsid w:val="00562A7C"/>
    <w:pPr>
      <w:ind w:left="624" w:hanging="624"/>
    </w:pPr>
  </w:style>
  <w:style w:type="paragraph" w:styleId="a7">
    <w:name w:val="header"/>
    <w:basedOn w:val="a"/>
    <w:rsid w:val="00562A7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562A7C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562A7C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562A7C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b/>
      <w:bCs/>
      <w:sz w:val="28"/>
      <w:szCs w:val="28"/>
      <w:u w:val="single"/>
    </w:rPr>
  </w:style>
  <w:style w:type="character" w:styleId="aa">
    <w:name w:val="page number"/>
    <w:basedOn w:val="a0"/>
    <w:rsid w:val="00562A7C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jc w:val="left"/>
    </w:pPr>
    <w:rPr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10">
    <w:name w:val="כותרת 1 תו"/>
    <w:basedOn w:val="a0"/>
    <w:link w:val="1"/>
    <w:uiPriority w:val="9"/>
    <w:rsid w:val="00562A7C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20">
    <w:name w:val="כותרת 2 תו"/>
    <w:basedOn w:val="a0"/>
    <w:link w:val="2"/>
    <w:rsid w:val="00562A7C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562A7C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40">
    <w:name w:val="כותרת 4 תו"/>
    <w:basedOn w:val="a0"/>
    <w:link w:val="4"/>
    <w:uiPriority w:val="9"/>
    <w:rsid w:val="00562A7C"/>
    <w:rPr>
      <w:rFonts w:ascii="David" w:eastAsiaTheme="minorHAnsi" w:hAnsi="David" w:cs="David"/>
      <w:b/>
      <w:bCs/>
      <w:color w:val="000000" w:themeColor="text1"/>
      <w:sz w:val="24"/>
      <w:szCs w:val="28"/>
    </w:rPr>
  </w:style>
  <w:style w:type="character" w:customStyle="1" w:styleId="50">
    <w:name w:val="כותרת 5 תו"/>
    <w:basedOn w:val="a0"/>
    <w:link w:val="5"/>
    <w:uiPriority w:val="9"/>
    <w:rsid w:val="00562A7C"/>
    <w:rPr>
      <w:rFonts w:ascii="David" w:eastAsiaTheme="minorHAnsi" w:hAnsi="David" w:cs="David"/>
      <w:color w:val="000000" w:themeColor="text1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562A7C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562A7C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562A7C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562A7C"/>
    <w:rPr>
      <w:color w:val="0000FF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562A7C"/>
    <w:pPr>
      <w:numPr>
        <w:numId w:val="21"/>
      </w:numPr>
      <w:tabs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nhideWhenUsed/>
    <w:qFormat/>
    <w:rsid w:val="00562A7C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562A7C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562A7C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562A7C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562A7C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562A7C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562A7C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562A7C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562A7C"/>
    <w:rPr>
      <w:rFonts w:eastAsia="Times New Roman"/>
    </w:rPr>
  </w:style>
  <w:style w:type="paragraph" w:styleId="ae">
    <w:name w:val="List Paragraph"/>
    <w:basedOn w:val="a"/>
    <w:uiPriority w:val="34"/>
    <w:qFormat/>
    <w:rsid w:val="00562A7C"/>
    <w:pPr>
      <w:widowControl/>
      <w:spacing w:line="259" w:lineRule="auto"/>
    </w:pPr>
    <w:rPr>
      <w:rFonts w:asciiTheme="minorHAnsi" w:hAnsiTheme="minorHAnsi"/>
      <w:sz w:val="22"/>
    </w:rPr>
  </w:style>
  <w:style w:type="table" w:styleId="af">
    <w:name w:val="Table Grid"/>
    <w:basedOn w:val="a1"/>
    <w:rsid w:val="0056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562A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562A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0">
    <w:name w:val="טבלת חקיקה"/>
    <w:basedOn w:val="a1"/>
    <w:uiPriority w:val="99"/>
    <w:rsid w:val="00562A7C"/>
    <w:pPr>
      <w:jc w:val="center"/>
    </w:pPr>
    <w:rPr>
      <w:rFonts w:cstheme="minorBidi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562A7C"/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4E21C28B32ECF49ADBB6A5BBBCCB3CD" ma:contentTypeVersion="" ma:contentTypeDescription="צור מסמך חדש." ma:contentTypeScope="" ma:versionID="f81d89568b860eeaa06327f0f2d2f14b">
  <xsd:schema xmlns:xsd="http://www.w3.org/2001/XMLSchema" xmlns:xs="http://www.w3.org/2001/XMLSchema" xmlns:p="http://schemas.microsoft.com/office/2006/metadata/properties" xmlns:ns2="290d5b49-c690-4c6f-bbb9-1e50dab33eee" targetNamespace="http://schemas.microsoft.com/office/2006/metadata/properties" ma:root="true" ma:fieldsID="a6db6e33f8462d87724f237088727803" ns2:_="">
    <xsd:import namespace="290d5b49-c690-4c6f-bbb9-1e50dab33ee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d5b49-c690-4c6f-bbb9-1e50dab33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4AFE3-9455-419C-8851-785A55F4451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90d5b49-c690-4c6f-bbb9-1e50dab33ee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38B099-901B-4E14-B20E-897B29320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d5b49-c690-4c6f-bbb9-1e50dab33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0B249-D63E-4BDB-B775-0A403C76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טליה ווייס עמר</cp:lastModifiedBy>
  <cp:revision>17</cp:revision>
  <cp:lastPrinted>2013-07-04T08:25:00Z</cp:lastPrinted>
  <dcterms:created xsi:type="dcterms:W3CDTF">2015-04-20T09:58:00Z</dcterms:created>
  <dcterms:modified xsi:type="dcterms:W3CDTF">2023-01-02T11:26:00Z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0x01010054E21C28B32ECF49ADBB6A5BBBCCB3CD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2198063</vt:r8>
  </property>
</Properties>
</file>