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לפגוע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בזכויות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לכבוד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מדלנה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ניקולוב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עורכי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nikolovmadlen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השביעית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סימוכין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מכתבכם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30.5.2019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מתכבד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מכתבך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שבסמך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השביעית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וחופשית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76" w:lineRule="auto"/>
        <w:ind w:left="720" w:right="0" w:hanging="72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לתמיהה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מרשתכם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פרסום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8.8.2017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ומחצה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לתמיהה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מנוסח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ומוצג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מכתבך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חיצוני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לגופו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76" w:lineRule="auto"/>
        <w:ind w:left="720" w:right="0" w:hanging="72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הפרסום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באיחור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ובשיהוי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שבפנייתכם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פרסום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שהועלו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76" w:lineRule="auto"/>
        <w:ind w:left="720" w:right="0" w:hanging="72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ההליכים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מרשייך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ופורסמו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המקצועיות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והראויות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וביסודיות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כדרישות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והאתיקה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ותדיר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כמנהגה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השביעית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הנמצאים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סיקורה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נוהגת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תמשיך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לנהוג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למרשייך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76" w:lineRule="auto"/>
        <w:ind w:left="720" w:right="0" w:hanging="72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השביעית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פרסום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מרשיכם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בפרסום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תטען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לחילופין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-1965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הדרישות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מרשיכם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ובפרנסתם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לנזקים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שנגרמו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בעטיה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76" w:lineRule="auto"/>
        <w:ind w:left="720" w:right="0" w:hanging="72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מרשיכם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דרישותיהם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תיענינה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ירתיע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השביעית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העיתונאי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תפגוש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מרשיכם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וייקוב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76" w:lineRule="auto"/>
        <w:ind w:left="720" w:right="0" w:hanging="72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דרישותיהם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והקיצוניות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מרשייך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למכתבך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מדגימות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מדגישות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ומחדדות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טענותיכם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הקיצוני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76" w:lineRule="auto"/>
        <w:ind w:left="720" w:right="0" w:hanging="72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השביעית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מרשיכם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64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64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64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576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200" w:before="0" w:line="276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העין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השביעית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–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עיתונות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עצמאית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,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חוקרת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וחופשית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(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ע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ר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)</w:t>
      <w:br w:type="textWrapping"/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כתובת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רשומה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מנחם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בגין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7,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רמת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גן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(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אצל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עו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ד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אלעד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מן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)</w:t>
      <w:br w:type="textWrapping"/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contact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@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the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7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eye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org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il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200" w:before="0" w:line="276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www.the7eye.org.il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200" w:before="0" w:line="276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העין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השביעית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–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עיתונות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עצמאית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,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חוקרת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וחופשית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(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ע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ר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0</wp:posOffset>
          </wp:positionV>
          <wp:extent cx="951230" cy="951230"/>
          <wp:effectExtent b="0" l="0" r="0" t="0"/>
          <wp:wrapSquare wrapText="bothSides" distB="0" distT="0" distL="114300" distR="11430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230" cy="9512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200" w:before="0" w:line="276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200" w:before="0" w:line="276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271770" cy="5271770"/>
          <wp:effectExtent b="0" l="0" r="0" t="0"/>
          <wp:docPr descr="C:\Users\Elad Man\AppData\Local\Microsoft\Windows\Temporary Internet Files\Content.Outlook\033SXTKJ\Untitled-2 (2).jpg" id="1028" name="image3.png"/>
          <a:graphic>
            <a:graphicData uri="http://schemas.openxmlformats.org/drawingml/2006/picture">
              <pic:pic>
                <pic:nvPicPr>
                  <pic:cNvPr descr="C:\Users\Elad Man\AppData\Local\Microsoft\Windows\Temporary Internet Files\Content.Outlook\033SXTKJ\Untitled-2 (2).jp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1770" cy="5271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-942339</wp:posOffset>
          </wp:positionH>
          <wp:positionV relativeFrom="paragraph">
            <wp:posOffset>0</wp:posOffset>
          </wp:positionV>
          <wp:extent cx="999490" cy="771525"/>
          <wp:effectExtent b="0" l="0" r="0" t="0"/>
          <wp:wrapSquare wrapText="bothSides" distB="0" distT="0" distL="114300" distR="11430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9490" cy="771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David" w:cs="David" w:eastAsia="David" w:hAnsi="David"/>
        <w:b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417" w:hanging="697.0000000000001"/>
      </w:pPr>
      <w:rPr>
        <w:rFonts w:ascii="David" w:cs="David" w:eastAsia="David" w:hAnsi="David"/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551" w:hanging="1134"/>
      </w:pPr>
      <w:rPr>
        <w:rFonts w:ascii="David" w:cs="David" w:eastAsia="David" w:hAnsi="David"/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3685" w:hanging="1134"/>
      </w:pPr>
      <w:rPr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ind w:left="4439" w:hanging="144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5187" w:hanging="1439.9999999999995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6299" w:hanging="1798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7047" w:hanging="1797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8158" w:hanging="216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רגיל">
    <w:name w:val="רגיל"/>
    <w:next w:val="רגיל"/>
    <w:autoRedefine w:val="0"/>
    <w:hidden w:val="0"/>
    <w:qFormat w:val="0"/>
    <w:pPr>
      <w:suppressAutoHyphens w:val="1"/>
      <w:bidi w:val="1"/>
      <w:spacing w:after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e-IL" w:eastAsia="en-US" w:val="en-US"/>
    </w:rPr>
  </w:style>
  <w:style w:type="character" w:styleId="גופןברירתהמחדלשלפיסקה">
    <w:name w:val="גופן ברירת המחדל של פיסקה"/>
    <w:next w:val="גופןברירתהמחדלשלפיסקה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טבלהרגילה">
    <w:name w:val="טבלה רגילה"/>
    <w:next w:val="טבלהרגילה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ללארשימה">
    <w:name w:val="ללא רשימה"/>
    <w:next w:val="ללארשימה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כותרתעליונה">
    <w:name w:val="כותרת עליונה"/>
    <w:basedOn w:val="רגיל"/>
    <w:next w:val="כותרתעליונה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e-IL" w:eastAsia="en-US" w:val="en-US"/>
    </w:rPr>
  </w:style>
  <w:style w:type="character" w:styleId="כותרתעליונהתו">
    <w:name w:val="כותרת עליונה תו"/>
    <w:basedOn w:val="גופןברירתהמחדלשלפיסקה"/>
    <w:next w:val="כותרתעליונהתו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כותרתתחתונה">
    <w:name w:val="כותרת תחתונה"/>
    <w:basedOn w:val="רגיל"/>
    <w:next w:val="כותרתתחתונה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e-IL" w:eastAsia="en-US" w:val="en-US"/>
    </w:rPr>
  </w:style>
  <w:style w:type="character" w:styleId="כותרתתחתונהתו">
    <w:name w:val="כותרת תחתונה תו"/>
    <w:basedOn w:val="גופןברירתהמחדלשלפיסקה"/>
    <w:next w:val="כותרתתחתונהתו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טקסטבלונים">
    <w:name w:val="טקסט בלונים"/>
    <w:basedOn w:val="רגיל"/>
    <w:next w:val="טקסטבלונים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he-IL" w:eastAsia="en-US" w:val="en-US"/>
    </w:rPr>
  </w:style>
  <w:style w:type="character" w:styleId="טקסטבלוניםתו">
    <w:name w:val="טקסט בלונים תו"/>
    <w:next w:val="טקסטבלוניםתו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2019-05-30T20:54:00Z</dcterms:created>
  <dc:creator>Elad Man</dc:creator>
</cp:coreProperties>
</file>