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07" w:rsidRDefault="00945D07" w:rsidP="00945D07">
      <w:pPr>
        <w:bidi/>
      </w:pPr>
    </w:p>
    <w:p w:rsidR="00D52BD6" w:rsidRPr="00D52BD6" w:rsidRDefault="00D52BD6" w:rsidP="00D52BD6">
      <w:pPr>
        <w:bidi/>
        <w:spacing w:line="360" w:lineRule="auto"/>
        <w:jc w:val="center"/>
        <w:rPr>
          <w:rFonts w:ascii="Arial" w:hAnsi="Arial" w:cs="Arial"/>
          <w:b/>
          <w:bCs/>
          <w:color w:val="1F497D"/>
          <w:sz w:val="22"/>
          <w:szCs w:val="22"/>
          <w:u w:val="single"/>
          <w:rtl/>
        </w:rPr>
      </w:pPr>
      <w:r w:rsidRPr="00D52BD6">
        <w:rPr>
          <w:rFonts w:ascii="Arial" w:hAnsi="Arial" w:cs="Arial" w:hint="cs"/>
          <w:b/>
          <w:bCs/>
          <w:color w:val="1F497D"/>
          <w:sz w:val="22"/>
          <w:szCs w:val="22"/>
          <w:u w:val="single"/>
          <w:rtl/>
        </w:rPr>
        <w:t>תגובת קבוצת בזן</w:t>
      </w:r>
    </w:p>
    <w:p w:rsidR="00194D55" w:rsidRDefault="00194D55" w:rsidP="00194D5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</w:p>
    <w:p w:rsidR="00453AD6" w:rsidRDefault="00945D07" w:rsidP="00E26B3C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קבוצת בזן החליטה להציג לציבור </w:t>
      </w:r>
      <w:r w:rsidR="007862B7">
        <w:rPr>
          <w:rFonts w:ascii="Arial" w:hAnsi="Arial" w:cs="Arial"/>
          <w:color w:val="1F497D"/>
          <w:sz w:val="22"/>
          <w:szCs w:val="22"/>
          <w:rtl/>
        </w:rPr>
        <w:t>עובדות מוצקות של גורמים מקצועיים ואובייקטיביים</w:t>
      </w:r>
      <w:r w:rsidR="007862B7">
        <w:rPr>
          <w:rFonts w:ascii="Arial" w:hAnsi="Arial" w:cs="Arial" w:hint="cs"/>
          <w:color w:val="1F497D"/>
          <w:sz w:val="22"/>
          <w:szCs w:val="22"/>
          <w:rtl/>
        </w:rPr>
        <w:t xml:space="preserve">, 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המבוססות על מחקרים ונתונים של האיחוד האירופי, על פיהם בזן </w:t>
      </w:r>
      <w:r w:rsidR="00E26B3C">
        <w:rPr>
          <w:rFonts w:ascii="Arial" w:hAnsi="Arial" w:cs="Arial" w:hint="cs"/>
          <w:color w:val="1F497D"/>
          <w:sz w:val="22"/>
          <w:szCs w:val="22"/>
          <w:rtl/>
        </w:rPr>
        <w:t xml:space="preserve">הצליחה להוריד עד 90% מהפליטות לאוויר, ובנוסף, בזן </w:t>
      </w:r>
      <w:r>
        <w:rPr>
          <w:rFonts w:ascii="Arial" w:hAnsi="Arial" w:cs="Arial"/>
          <w:color w:val="1F497D"/>
          <w:sz w:val="22"/>
          <w:szCs w:val="22"/>
          <w:rtl/>
        </w:rPr>
        <w:t>ממוקמת ב</w:t>
      </w:r>
      <w:r w:rsidR="00453AD6">
        <w:rPr>
          <w:rFonts w:ascii="Arial" w:hAnsi="Arial" w:cs="Arial" w:hint="cs"/>
          <w:color w:val="1F497D"/>
          <w:sz w:val="22"/>
          <w:szCs w:val="22"/>
          <w:rtl/>
        </w:rPr>
        <w:t xml:space="preserve">ין 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5% </w:t>
      </w:r>
      <w:r w:rsidR="00453AD6">
        <w:rPr>
          <w:rFonts w:ascii="Arial" w:hAnsi="Arial" w:cs="Arial" w:hint="cs"/>
          <w:color w:val="1F497D"/>
          <w:sz w:val="22"/>
          <w:szCs w:val="22"/>
          <w:rtl/>
        </w:rPr>
        <w:t xml:space="preserve">בתי הזיקוק </w:t>
      </w:r>
      <w:r>
        <w:rPr>
          <w:rFonts w:ascii="Arial" w:hAnsi="Arial" w:cs="Arial"/>
          <w:color w:val="1F497D"/>
          <w:sz w:val="22"/>
          <w:szCs w:val="22"/>
          <w:rtl/>
        </w:rPr>
        <w:t>הטובים ביותר</w:t>
      </w:r>
      <w:r w:rsidR="00453AD6">
        <w:rPr>
          <w:rFonts w:ascii="Arial" w:hAnsi="Arial" w:cs="Arial" w:hint="cs"/>
          <w:color w:val="1F497D"/>
          <w:sz w:val="22"/>
          <w:szCs w:val="22"/>
          <w:rtl/>
        </w:rPr>
        <w:t>,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 בהשוואה לבתי זיקוק באירופה. </w:t>
      </w:r>
    </w:p>
    <w:p w:rsidR="00E26B3C" w:rsidRPr="0019430A" w:rsidRDefault="00E26B3C" w:rsidP="00E26B3C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</w:p>
    <w:p w:rsidR="0019430A" w:rsidRPr="001405D5" w:rsidRDefault="0019430A" w:rsidP="0019430A">
      <w:pPr>
        <w:bidi/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u w:val="single"/>
          <w:rtl/>
        </w:rPr>
      </w:pPr>
      <w:r w:rsidRPr="001405D5">
        <w:rPr>
          <w:rFonts w:ascii="Arial" w:hAnsi="Arial" w:cs="Arial" w:hint="cs"/>
          <w:b/>
          <w:bCs/>
          <w:color w:val="1F497D"/>
          <w:sz w:val="22"/>
          <w:szCs w:val="22"/>
          <w:u w:val="single"/>
          <w:rtl/>
        </w:rPr>
        <w:t>הפחתת פליטות</w:t>
      </w:r>
    </w:p>
    <w:p w:rsidR="00B204DE" w:rsidRPr="0019430A" w:rsidRDefault="0019430A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  <w:r w:rsidRPr="0019430A">
        <w:rPr>
          <w:rFonts w:ascii="Arial" w:hAnsi="Arial" w:cs="Arial"/>
          <w:color w:val="1F497D"/>
          <w:sz w:val="22"/>
          <w:szCs w:val="22"/>
          <w:rtl/>
        </w:rPr>
        <w:t>איכות האוויר נמדדת ככלל במספר מדדים מרכזיים: ריכוז של חומרים אורגנים נדיפים</w:t>
      </w:r>
      <w:r w:rsidRPr="0019430A">
        <w:rPr>
          <w:rFonts w:ascii="Arial" w:hAnsi="Arial" w:cs="Arial"/>
          <w:color w:val="1F497D"/>
          <w:sz w:val="22"/>
          <w:szCs w:val="22"/>
        </w:rPr>
        <w:t xml:space="preserve"> (</w:t>
      </w:r>
      <w:proofErr w:type="spellStart"/>
      <w:r w:rsidRPr="0019430A">
        <w:rPr>
          <w:rFonts w:ascii="Arial" w:hAnsi="Arial" w:cs="Arial"/>
          <w:color w:val="1F497D"/>
          <w:sz w:val="22"/>
          <w:szCs w:val="22"/>
        </w:rPr>
        <w:t>NMVoc</w:t>
      </w:r>
      <w:proofErr w:type="spellEnd"/>
      <w:r w:rsidRPr="0019430A">
        <w:rPr>
          <w:rFonts w:ascii="Arial" w:hAnsi="Arial" w:cs="Arial"/>
          <w:color w:val="1F497D"/>
          <w:sz w:val="22"/>
          <w:szCs w:val="22"/>
        </w:rPr>
        <w:t xml:space="preserve">), </w:t>
      </w:r>
      <w:r w:rsidRPr="0019430A">
        <w:rPr>
          <w:rFonts w:ascii="Arial" w:hAnsi="Arial" w:cs="Arial"/>
          <w:color w:val="1F497D"/>
          <w:sz w:val="22"/>
          <w:szCs w:val="22"/>
          <w:rtl/>
        </w:rPr>
        <w:t>ריכוז של גופרית דו-חמצנית</w:t>
      </w:r>
      <w:r w:rsidRPr="0019430A">
        <w:rPr>
          <w:rFonts w:ascii="Arial" w:hAnsi="Arial" w:cs="Arial"/>
          <w:color w:val="1F497D"/>
          <w:sz w:val="22"/>
          <w:szCs w:val="22"/>
        </w:rPr>
        <w:t xml:space="preserve"> (SO2), </w:t>
      </w:r>
      <w:r w:rsidRPr="0019430A">
        <w:rPr>
          <w:rFonts w:ascii="Arial" w:hAnsi="Arial" w:cs="Arial"/>
          <w:color w:val="1F497D"/>
          <w:sz w:val="22"/>
          <w:szCs w:val="22"/>
          <w:rtl/>
        </w:rPr>
        <w:t>תחמוצות חנקן</w:t>
      </w:r>
      <w:r w:rsidRPr="0019430A">
        <w:rPr>
          <w:rFonts w:ascii="Arial" w:hAnsi="Arial" w:cs="Arial"/>
          <w:color w:val="1F497D"/>
          <w:sz w:val="22"/>
          <w:szCs w:val="22"/>
        </w:rPr>
        <w:t xml:space="preserve"> (NOX) </w:t>
      </w:r>
      <w:r>
        <w:rPr>
          <w:rFonts w:ascii="Arial" w:hAnsi="Arial" w:cs="Arial"/>
          <w:color w:val="1F497D"/>
          <w:sz w:val="22"/>
          <w:szCs w:val="22"/>
          <w:rtl/>
        </w:rPr>
        <w:t>וחלקיקי</w:t>
      </w:r>
      <w:r>
        <w:rPr>
          <w:rFonts w:ascii="Arial" w:hAnsi="Arial" w:cs="Arial" w:hint="cs"/>
          <w:color w:val="1F497D"/>
          <w:sz w:val="22"/>
          <w:szCs w:val="22"/>
          <w:rtl/>
        </w:rPr>
        <w:t>ם (</w:t>
      </w:r>
      <w:r>
        <w:rPr>
          <w:rFonts w:ascii="Arial" w:hAnsi="Arial" w:cs="Arial" w:hint="cs"/>
          <w:color w:val="1F497D"/>
          <w:sz w:val="22"/>
          <w:szCs w:val="22"/>
        </w:rPr>
        <w:t>PM</w:t>
      </w:r>
      <w:r>
        <w:rPr>
          <w:rFonts w:ascii="Arial" w:hAnsi="Arial" w:cs="Arial" w:hint="cs"/>
          <w:color w:val="1F497D"/>
          <w:sz w:val="22"/>
          <w:szCs w:val="22"/>
          <w:rtl/>
        </w:rPr>
        <w:t xml:space="preserve">). </w:t>
      </w:r>
      <w:r w:rsidRPr="0019430A">
        <w:rPr>
          <w:rFonts w:ascii="Arial" w:hAnsi="Arial" w:cs="Arial"/>
          <w:color w:val="1F497D"/>
          <w:sz w:val="22"/>
          <w:szCs w:val="22"/>
          <w:rtl/>
        </w:rPr>
        <w:t xml:space="preserve">להלן הנתונים של פליטות ממתחם בזן משנת 2009 עד 2018 בכל אחד מהפרמטרים העיקריים המודדים איכות אוויר (הנתונים הם </w:t>
      </w:r>
      <w:r w:rsidRPr="001405D5">
        <w:rPr>
          <w:rFonts w:ascii="Arial" w:hAnsi="Arial" w:cs="Arial"/>
          <w:b/>
          <w:bCs/>
          <w:color w:val="1F497D"/>
          <w:sz w:val="22"/>
          <w:szCs w:val="22"/>
          <w:rtl/>
        </w:rPr>
        <w:t>ק"ג לשנה</w:t>
      </w:r>
      <w:r w:rsidRPr="0019430A">
        <w:rPr>
          <w:rFonts w:ascii="Arial" w:hAnsi="Arial" w:cs="Arial"/>
          <w:color w:val="1F497D"/>
          <w:sz w:val="22"/>
          <w:szCs w:val="22"/>
          <w:rtl/>
        </w:rPr>
        <w:t>). בזן הצליחה להפחית עד 90% בפליטות לאוויר</w:t>
      </w:r>
      <w:r w:rsidRPr="0019430A">
        <w:rPr>
          <w:rFonts w:ascii="Arial" w:hAnsi="Arial" w:cs="Arial"/>
          <w:color w:val="1F497D"/>
          <w:sz w:val="22"/>
          <w:szCs w:val="22"/>
        </w:rPr>
        <w:t>:</w:t>
      </w:r>
    </w:p>
    <w:p w:rsidR="001405D5" w:rsidRDefault="001405D5" w:rsidP="00E26B3C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  <w:r>
        <w:rPr>
          <w:rFonts w:ascii="Arial" w:hAnsi="Arial" w:cs="Arial"/>
          <w:noProof/>
          <w:color w:val="1F497D"/>
          <w:sz w:val="22"/>
          <w:szCs w:val="22"/>
          <w:u w:val="single"/>
        </w:rPr>
        <w:drawing>
          <wp:inline distT="0" distB="0" distL="0" distR="0">
            <wp:extent cx="4002003" cy="244990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12" cy="24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  <w:r>
        <w:rPr>
          <w:rFonts w:ascii="Arial" w:hAnsi="Arial" w:cs="Arial"/>
          <w:noProof/>
          <w:color w:val="1F497D"/>
          <w:sz w:val="22"/>
          <w:szCs w:val="22"/>
          <w:u w:val="single"/>
        </w:rPr>
        <w:drawing>
          <wp:inline distT="0" distB="0" distL="0" distR="0">
            <wp:extent cx="3957800" cy="238832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32" cy="239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  <w:r>
        <w:rPr>
          <w:rFonts w:ascii="Arial" w:hAnsi="Arial" w:cs="Arial"/>
          <w:noProof/>
          <w:color w:val="1F497D"/>
          <w:sz w:val="22"/>
          <w:szCs w:val="22"/>
          <w:u w:val="single"/>
        </w:rPr>
        <w:drawing>
          <wp:inline distT="0" distB="0" distL="0" distR="0">
            <wp:extent cx="3970116" cy="249264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229" cy="25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u w:val="single"/>
          <w:rtl/>
        </w:rPr>
      </w:pPr>
      <w:r>
        <w:rPr>
          <w:rFonts w:ascii="Arial" w:hAnsi="Arial" w:cs="Arial"/>
          <w:noProof/>
          <w:color w:val="1F497D"/>
          <w:sz w:val="22"/>
          <w:szCs w:val="22"/>
          <w:u w:val="single"/>
        </w:rPr>
        <w:drawing>
          <wp:inline distT="0" distB="0" distL="0" distR="0">
            <wp:extent cx="3898795" cy="24412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93" cy="24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D5" w:rsidRDefault="001405D5" w:rsidP="001405D5">
      <w:pPr>
        <w:bidi/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u w:val="single"/>
          <w:rtl/>
        </w:rPr>
      </w:pPr>
    </w:p>
    <w:p w:rsidR="00E26B3C" w:rsidRPr="001405D5" w:rsidRDefault="00E26B3C" w:rsidP="001405D5">
      <w:pPr>
        <w:bidi/>
        <w:spacing w:line="360" w:lineRule="auto"/>
        <w:jc w:val="both"/>
        <w:rPr>
          <w:rFonts w:ascii="Arial" w:hAnsi="Arial" w:cs="Arial"/>
          <w:b/>
          <w:bCs/>
          <w:color w:val="1F497D"/>
          <w:sz w:val="22"/>
          <w:szCs w:val="22"/>
          <w:u w:val="single"/>
          <w:rtl/>
        </w:rPr>
      </w:pPr>
      <w:r w:rsidRPr="001405D5">
        <w:rPr>
          <w:rFonts w:ascii="Arial" w:hAnsi="Arial" w:cs="Arial" w:hint="cs"/>
          <w:b/>
          <w:bCs/>
          <w:color w:val="1F497D"/>
          <w:sz w:val="22"/>
          <w:szCs w:val="22"/>
          <w:u w:val="single"/>
          <w:rtl/>
        </w:rPr>
        <w:t>ההשוואה לאירופה</w:t>
      </w:r>
    </w:p>
    <w:p w:rsidR="00530E78" w:rsidRDefault="00945D07" w:rsidP="001405D5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הנתונים בקמפיין מבוססים על שני מסמכים עיקריים; האיחוד האירופי </w:t>
      </w:r>
      <w:proofErr w:type="spellStart"/>
      <w:r>
        <w:rPr>
          <w:rFonts w:ascii="Arial" w:hAnsi="Arial" w:cs="Arial"/>
          <w:color w:val="1F497D"/>
          <w:sz w:val="22"/>
          <w:szCs w:val="22"/>
          <w:rtl/>
        </w:rPr>
        <w:t>פירסם</w:t>
      </w:r>
      <w:proofErr w:type="spellEnd"/>
      <w:r>
        <w:rPr>
          <w:rFonts w:ascii="Arial" w:hAnsi="Arial" w:cs="Arial"/>
          <w:color w:val="1F497D"/>
          <w:sz w:val="22"/>
          <w:szCs w:val="22"/>
          <w:rtl/>
        </w:rPr>
        <w:t xml:space="preserve"> מסמך בשנת 2016 שנועד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להגדיר את הטכנולוגיה </w:t>
      </w:r>
      <w:proofErr w:type="spellStart"/>
      <w:r>
        <w:rPr>
          <w:rFonts w:ascii="Arial" w:hAnsi="Arial" w:cs="Arial"/>
          <w:color w:val="1F497D"/>
          <w:sz w:val="22"/>
          <w:szCs w:val="22"/>
          <w:rtl/>
        </w:rPr>
        <w:t>המטיבית</w:t>
      </w:r>
      <w:proofErr w:type="spellEnd"/>
      <w:r>
        <w:rPr>
          <w:rFonts w:ascii="Arial" w:hAnsi="Arial" w:cs="Arial"/>
          <w:color w:val="1F497D"/>
          <w:sz w:val="22"/>
          <w:szCs w:val="22"/>
          <w:rtl/>
        </w:rPr>
        <w:t xml:space="preserve"> הנדרשת מבתי זיקוק. במסגרתו, בוצע סקר תקופתי אודות הפליטות מבתי הזיקוק ברחבי אירופה. מהנתונים עולה כי בזן ממוקמת ב5% הטובים ביותר בין בתי הזיקוק בהשוואה אירופית.</w:t>
      </w:r>
      <w:bookmarkStart w:id="0" w:name="_GoBack"/>
      <w:bookmarkEnd w:id="0"/>
    </w:p>
    <w:p w:rsidR="00530E78" w:rsidRDefault="00530E78" w:rsidP="00530E78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</w:p>
    <w:tbl>
      <w:tblPr>
        <w:tblW w:w="7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40"/>
        <w:gridCol w:w="1280"/>
        <w:gridCol w:w="1240"/>
        <w:gridCol w:w="1240"/>
      </w:tblGrid>
      <w:tr w:rsidR="00945D07" w:rsidTr="00945D07">
        <w:trPr>
          <w:trHeight w:val="238"/>
          <w:jc w:val="center"/>
        </w:trPr>
        <w:tc>
          <w:tcPr>
            <w:tcW w:w="7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rtl/>
              </w:rPr>
              <w:lastRenderedPageBreak/>
              <w:t>פליטה סגולית גרם/טון</w:t>
            </w:r>
            <w:r w:rsidRPr="00453AD6">
              <w:rPr>
                <w:rFonts w:ascii="Arial" w:hAnsi="Arial" w:cs="Arial"/>
                <w:b/>
                <w:bCs/>
                <w:color w:val="1F497D"/>
                <w:rtl/>
              </w:rPr>
              <w:t xml:space="preserve"> זיקוק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</w:p>
        </w:tc>
      </w:tr>
      <w:tr w:rsidR="00945D07" w:rsidTr="00945D07">
        <w:trPr>
          <w:trHeight w:val="335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rPr>
                <w:rFonts w:ascii="Arial" w:hAnsi="Arial" w:cs="Arial"/>
                <w:color w:val="1F497D"/>
                <w:rtl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SOX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NOX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NMVOC</w:t>
            </w:r>
          </w:p>
        </w:tc>
      </w:tr>
      <w:tr w:rsidR="00945D07" w:rsidTr="00945D07">
        <w:trPr>
          <w:trHeight w:val="335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proofErr w:type="spellStart"/>
            <w:r>
              <w:rPr>
                <w:rFonts w:ascii="Arial" w:hAnsi="Arial" w:cs="Arial"/>
                <w:color w:val="1F497D"/>
              </w:rPr>
              <w:t>Bazan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111.6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1F497D"/>
              </w:rPr>
              <w:t>29.5</w:t>
            </w:r>
          </w:p>
        </w:tc>
      </w:tr>
      <w:tr w:rsidR="00945D07" w:rsidTr="00945D07">
        <w:trPr>
          <w:trHeight w:val="31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EU 5th percentile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50</w:t>
            </w:r>
          </w:p>
        </w:tc>
      </w:tr>
      <w:tr w:rsidR="00945D07" w:rsidTr="00945D07">
        <w:trPr>
          <w:trHeight w:val="31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EU 50th percentile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741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</w:rPr>
              <w:t>194</w:t>
            </w:r>
          </w:p>
        </w:tc>
      </w:tr>
      <w:tr w:rsidR="00945D07" w:rsidTr="00945D07">
        <w:trPr>
          <w:trHeight w:val="173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EU 95th percentile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1565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590</w:t>
            </w:r>
          </w:p>
        </w:tc>
      </w:tr>
    </w:tbl>
    <w:p w:rsidR="00945D07" w:rsidRDefault="00945D07" w:rsidP="00945D07">
      <w:pPr>
        <w:bidi/>
        <w:spacing w:line="360" w:lineRule="auto"/>
        <w:rPr>
          <w:rFonts w:ascii="Arial" w:hAnsi="Arial" w:cs="Arial"/>
          <w:color w:val="1F497D"/>
          <w:sz w:val="22"/>
          <w:szCs w:val="22"/>
        </w:rPr>
      </w:pPr>
    </w:p>
    <w:p w:rsidR="00945D07" w:rsidRDefault="00945D07" w:rsidP="00FC4052">
      <w:pPr>
        <w:bidi/>
        <w:spacing w:line="360" w:lineRule="auto"/>
        <w:jc w:val="both"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בנוסף, על פי  סקר השוואתי שביצעה חברת </w:t>
      </w:r>
      <w:r>
        <w:rPr>
          <w:rFonts w:ascii="Calibri" w:hAnsi="Calibri"/>
          <w:color w:val="1F497D"/>
          <w:sz w:val="22"/>
          <w:szCs w:val="22"/>
        </w:rPr>
        <w:t xml:space="preserve">Royal </w:t>
      </w:r>
      <w:proofErr w:type="spellStart"/>
      <w:r>
        <w:rPr>
          <w:rFonts w:ascii="Calibri" w:hAnsi="Calibri"/>
          <w:color w:val="1F497D"/>
          <w:sz w:val="22"/>
          <w:szCs w:val="22"/>
        </w:rPr>
        <w:t>HaskoningDHV</w:t>
      </w:r>
      <w:proofErr w:type="spellEnd"/>
      <w:r>
        <w:rPr>
          <w:rFonts w:ascii="Arial" w:hAnsi="Arial" w:cs="Arial"/>
          <w:color w:val="1F497D"/>
          <w:sz w:val="22"/>
          <w:szCs w:val="22"/>
          <w:rtl/>
        </w:rPr>
        <w:t xml:space="preserve"> </w:t>
      </w:r>
      <w:r>
        <w:rPr>
          <w:rFonts w:ascii="Arial" w:hAnsi="Arial" w:cs="Arial" w:hint="cs"/>
          <w:color w:val="1F497D"/>
          <w:sz w:val="22"/>
          <w:szCs w:val="22"/>
          <w:rtl/>
        </w:rPr>
        <w:t xml:space="preserve">בשנת 2019, נעשתה השוואה של הפליטות לאוויר מבזן ל-25 בתי זיקוק באירופה הדומים מבחינת הגודל והמורכבות </w:t>
      </w:r>
      <w:proofErr w:type="spellStart"/>
      <w:r>
        <w:rPr>
          <w:rFonts w:ascii="Arial" w:hAnsi="Arial" w:cs="Arial" w:hint="cs"/>
          <w:color w:val="1F497D"/>
          <w:sz w:val="22"/>
          <w:szCs w:val="22"/>
          <w:rtl/>
        </w:rPr>
        <w:t>לבזן</w:t>
      </w:r>
      <w:proofErr w:type="spellEnd"/>
      <w:r>
        <w:rPr>
          <w:rFonts w:ascii="Arial" w:hAnsi="Arial" w:cs="Arial" w:hint="cs"/>
          <w:color w:val="1F497D"/>
          <w:sz w:val="22"/>
          <w:szCs w:val="22"/>
          <w:rtl/>
        </w:rPr>
        <w:t>. הסקר ערך שימוש בנתוני פליטות המפורסמ</w:t>
      </w:r>
      <w:r w:rsidR="00453AD6">
        <w:rPr>
          <w:rFonts w:ascii="Arial" w:hAnsi="Arial" w:cs="Arial" w:hint="cs"/>
          <w:color w:val="1F497D"/>
          <w:sz w:val="22"/>
          <w:szCs w:val="22"/>
          <w:rtl/>
        </w:rPr>
        <w:t>ים</w:t>
      </w:r>
      <w:r>
        <w:rPr>
          <w:rFonts w:ascii="Arial" w:hAnsi="Arial" w:cs="Arial" w:hint="cs"/>
          <w:color w:val="1F497D"/>
          <w:sz w:val="22"/>
          <w:szCs w:val="22"/>
          <w:rtl/>
        </w:rPr>
        <w:t xml:space="preserve"> באופן פומבי (מכונה על ידי אנשי מקצוע </w:t>
      </w:r>
      <w:r>
        <w:rPr>
          <w:rFonts w:ascii="Calibri" w:hAnsi="Calibri"/>
          <w:color w:val="1F497D"/>
          <w:sz w:val="22"/>
          <w:szCs w:val="22"/>
        </w:rPr>
        <w:t>PRTR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, מרשם פליטות לסביבה) האירופאי ובנתוני היקפי ייצור מתוך </w:t>
      </w:r>
      <w:r>
        <w:rPr>
          <w:rFonts w:ascii="Calibri" w:hAnsi="Calibri"/>
          <w:color w:val="1F497D"/>
          <w:sz w:val="22"/>
          <w:szCs w:val="22"/>
        </w:rPr>
        <w:t>Oil and Gas Journal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. ממצאי הסקר מראים חד משמעית, כי הפליטות של בזן נמוכות משמעותית ביחס למפעלים באירופה, וביחס לכלל הפליטות בסקר בזן נמצאת במקומות הראשונים והבולטים לטובה. </w:t>
      </w:r>
    </w:p>
    <w:p w:rsidR="00945D07" w:rsidRPr="00453AD6" w:rsidRDefault="00453AD6" w:rsidP="00453AD6">
      <w:pPr>
        <w:bidi/>
        <w:spacing w:line="360" w:lineRule="auto"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טבלה המשוו</w:t>
      </w:r>
      <w:r w:rsidR="00945D07">
        <w:rPr>
          <w:rFonts w:ascii="Arial" w:hAnsi="Arial" w:cs="Arial"/>
          <w:color w:val="1F497D"/>
          <w:sz w:val="22"/>
          <w:szCs w:val="22"/>
          <w:rtl/>
        </w:rPr>
        <w:t xml:space="preserve">ה את בזן לשני בתי הזיקוק המאוזכרים בקמפיין: </w:t>
      </w:r>
    </w:p>
    <w:p w:rsidR="00945D07" w:rsidRDefault="00945D07" w:rsidP="00945D07">
      <w:pPr>
        <w:bidi/>
        <w:rPr>
          <w:rtl/>
        </w:rPr>
      </w:pPr>
    </w:p>
    <w:tbl>
      <w:tblPr>
        <w:bidiVisual/>
        <w:tblW w:w="6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338"/>
        <w:gridCol w:w="1298"/>
        <w:gridCol w:w="1297"/>
      </w:tblGrid>
      <w:tr w:rsidR="00945D07" w:rsidTr="00945D07">
        <w:trPr>
          <w:trHeight w:val="946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D07" w:rsidRDefault="00945D07">
            <w:pPr>
              <w:bidi/>
              <w:rPr>
                <w:rFonts w:ascii="Calibri" w:hAnsi="Calibri"/>
                <w:color w:val="1F497D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-46750</wp:posOffset>
                  </wp:positionH>
                  <wp:positionV relativeFrom="paragraph">
                    <wp:posOffset>24921</wp:posOffset>
                  </wp:positionV>
                  <wp:extent cx="1362500" cy="621102"/>
                  <wp:effectExtent l="0" t="0" r="9525" b="762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78" cy="63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        פליטה      סגולית </w:t>
            </w:r>
          </w:p>
          <w:p w:rsidR="00945D07" w:rsidRDefault="00945D07">
            <w:pPr>
              <w:bidi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</w:p>
          <w:p w:rsidR="00945D07" w:rsidRDefault="00945D07">
            <w:pPr>
              <w:bidi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945D07" w:rsidRDefault="00945D07">
            <w:pPr>
              <w:bidi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בית הזיקוק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תחמוצות חנקן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גופרית דו חמצנית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חומרים אורגנים נדיפים</w:t>
            </w:r>
          </w:p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</w:p>
        </w:tc>
      </w:tr>
      <w:tr w:rsidR="00945D07" w:rsidTr="00945D07">
        <w:trPr>
          <w:trHeight w:val="472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Pr="00885F2F" w:rsidRDefault="00945D07">
            <w:pPr>
              <w:bidi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885F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בזן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Calibri" w:hAnsi="Calibri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13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4.4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3.1</w:t>
            </w:r>
          </w:p>
        </w:tc>
      </w:tr>
      <w:tr w:rsidR="00945D07" w:rsidTr="00945D07">
        <w:trPr>
          <w:trHeight w:val="451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Pr="00885F2F" w:rsidRDefault="00945D07">
            <w:pPr>
              <w:bidi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885F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אנטוורפן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30.1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44.5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>11.4</w:t>
            </w:r>
          </w:p>
        </w:tc>
      </w:tr>
      <w:tr w:rsidR="00945D07" w:rsidTr="00945D07">
        <w:trPr>
          <w:trHeight w:val="472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Pr="00885F2F" w:rsidRDefault="00945D07">
            <w:pPr>
              <w:bidi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885F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רוטרדם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13.7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38.9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7" w:rsidRDefault="00945D07">
            <w:pPr>
              <w:bidi/>
              <w:jc w:val="center"/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22.4 </w:t>
            </w:r>
          </w:p>
        </w:tc>
      </w:tr>
    </w:tbl>
    <w:p w:rsidR="003548EB" w:rsidRDefault="003548EB"/>
    <w:sectPr w:rsidR="003548EB" w:rsidSect="00415B40">
      <w:headerReference w:type="default" r:id="rId12"/>
      <w:footerReference w:type="defaul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07" w:rsidRDefault="00945D07" w:rsidP="00415B40">
      <w:r>
        <w:separator/>
      </w:r>
    </w:p>
  </w:endnote>
  <w:endnote w:type="continuationSeparator" w:id="0">
    <w:p w:rsidR="00945D07" w:rsidRDefault="00945D07" w:rsidP="004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40" w:rsidRDefault="00FB481B" w:rsidP="00415B40">
    <w:pPr>
      <w:pStyle w:val="Footer"/>
      <w:ind w:hanging="1759"/>
    </w:pPr>
    <w:r w:rsidRPr="00FB481B">
      <w:rPr>
        <w:rFonts w:cs="Arial"/>
        <w:noProof/>
        <w:rtl/>
      </w:rPr>
      <w:drawing>
        <wp:inline distT="0" distB="0" distL="0" distR="0" wp14:anchorId="601B0D6D" wp14:editId="1AF4736F">
          <wp:extent cx="7565323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604" cy="78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07" w:rsidRDefault="00945D07" w:rsidP="00415B40">
      <w:r>
        <w:separator/>
      </w:r>
    </w:p>
  </w:footnote>
  <w:footnote w:type="continuationSeparator" w:id="0">
    <w:p w:rsidR="00945D07" w:rsidRDefault="00945D07" w:rsidP="0041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40" w:rsidRDefault="00A9451B" w:rsidP="00415B40">
    <w:pPr>
      <w:pStyle w:val="Header"/>
      <w:tabs>
        <w:tab w:val="clear" w:pos="8306"/>
      </w:tabs>
      <w:ind w:left="-58" w:right="-1800" w:hanging="1701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25400</wp:posOffset>
              </wp:positionV>
              <wp:extent cx="2109470" cy="4032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A8" w:rsidRDefault="007C20A8" w:rsidP="007C20A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pt;margin-top:2pt;width:166.1pt;height:31.7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" stroked="f">
              <v:textbox style="mso-fit-shape-to-text:t">
                <w:txbxContent>
                  <w:p w:rsidR="007C20A8" w:rsidRDefault="007C20A8" w:rsidP="007C20A8">
                    <w:pPr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5B40">
      <w:rPr>
        <w:noProof/>
        <w:rtl/>
      </w:rPr>
      <w:drawing>
        <wp:inline distT="0" distB="0" distL="0" distR="0">
          <wp:extent cx="7530350" cy="1665307"/>
          <wp:effectExtent l="19050" t="0" r="0" b="0"/>
          <wp:docPr id="1" name="תמונה 0" descr="tamat_7976_template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t_7976_template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350" cy="1665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B40" w:rsidRDefault="00415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07"/>
    <w:rsid w:val="001405D5"/>
    <w:rsid w:val="00160333"/>
    <w:rsid w:val="0019430A"/>
    <w:rsid w:val="00194D55"/>
    <w:rsid w:val="00252F24"/>
    <w:rsid w:val="00254236"/>
    <w:rsid w:val="003548EB"/>
    <w:rsid w:val="00415B40"/>
    <w:rsid w:val="00453AD6"/>
    <w:rsid w:val="00530E78"/>
    <w:rsid w:val="007862B7"/>
    <w:rsid w:val="007C20A8"/>
    <w:rsid w:val="0086456E"/>
    <w:rsid w:val="00885F2F"/>
    <w:rsid w:val="008B4E2F"/>
    <w:rsid w:val="00945D07"/>
    <w:rsid w:val="00960B9D"/>
    <w:rsid w:val="009D4D6B"/>
    <w:rsid w:val="00A4422C"/>
    <w:rsid w:val="00A9451B"/>
    <w:rsid w:val="00B204DE"/>
    <w:rsid w:val="00B40FED"/>
    <w:rsid w:val="00D52BD6"/>
    <w:rsid w:val="00E26B3C"/>
    <w:rsid w:val="00EC7472"/>
    <w:rsid w:val="00FB481B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57B90D-009D-4225-BF98-EF3AA09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0"/>
    <w:pPr>
      <w:tabs>
        <w:tab w:val="center" w:pos="4153"/>
        <w:tab w:val="right" w:pos="8306"/>
      </w:tabs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5B40"/>
  </w:style>
  <w:style w:type="paragraph" w:styleId="Footer">
    <w:name w:val="footer"/>
    <w:basedOn w:val="Normal"/>
    <w:link w:val="FooterChar"/>
    <w:uiPriority w:val="99"/>
    <w:semiHidden/>
    <w:unhideWhenUsed/>
    <w:rsid w:val="00415B40"/>
    <w:pPr>
      <w:tabs>
        <w:tab w:val="center" w:pos="4153"/>
        <w:tab w:val="right" w:pos="8306"/>
      </w:tabs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5B40"/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bidi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s\Bazan_Templates\W_105_&#1491;&#1507;%20&#1500;&#1493;&#1490;&#1493;%20&#1489;&#1514;&#1497;%20&#1494;&#1497;&#1511;&#1493;&#1511;%20&#1500;&#1504;&#1508;&#1496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51A7-E57C-4E1D-BAA3-9F31950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W_105_דף לוגו בתי זיקוק לנפט.dotx</Template>
  <TotalTime>27</TotalTime>
  <Pages>4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שון מארק</dc:creator>
  <cp:keywords/>
  <dc:description/>
  <cp:lastModifiedBy>שון מארק</cp:lastModifiedBy>
  <cp:revision>2</cp:revision>
  <cp:lastPrinted>2019-05-28T15:38:00Z</cp:lastPrinted>
  <dcterms:created xsi:type="dcterms:W3CDTF">2019-05-28T16:07:00Z</dcterms:created>
  <dcterms:modified xsi:type="dcterms:W3CDTF">2019-05-28T16:07:00Z</dcterms:modified>
</cp:coreProperties>
</file>