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07" w:rsidRPr="00BE16B8" w:rsidRDefault="00DF1707" w:rsidP="00DF1707">
      <w:pPr>
        <w:rPr>
          <w:b/>
          <w:bCs/>
          <w:color w:val="4444FF"/>
          <w:rtl/>
        </w:rPr>
      </w:pPr>
      <w:bookmarkStart w:id="0" w:name="_GoBack"/>
      <w:bookmarkEnd w:id="0"/>
      <w:r w:rsidRPr="00BE16B8">
        <w:rPr>
          <w:rFonts w:hint="cs"/>
          <w:b/>
          <w:bCs/>
          <w:color w:val="4444FF"/>
          <w:rtl/>
        </w:rPr>
        <w:t xml:space="preserve">לשכת הנציב </w:t>
      </w:r>
      <w:r>
        <w:rPr>
          <w:rFonts w:hint="cs"/>
          <w:b/>
          <w:bCs/>
          <w:color w:val="4444FF"/>
          <w:rtl/>
        </w:rPr>
        <w:t>אורי שהם</w:t>
      </w:r>
    </w:p>
    <w:p w:rsidR="00DF1707" w:rsidRPr="00656AAC" w:rsidRDefault="00DF1707" w:rsidP="00DF1707">
      <w:pPr>
        <w:rPr>
          <w:b/>
          <w:color w:val="F0EEE5"/>
          <w:rtl/>
        </w:rPr>
      </w:pPr>
      <w:r>
        <w:rPr>
          <w:rFonts w:hint="cs"/>
          <w:b/>
          <w:bCs/>
          <w:color w:val="4444FF"/>
          <w:rtl/>
        </w:rPr>
        <w:t>שופט בית</w:t>
      </w:r>
      <w:r w:rsidRPr="00BE16B8">
        <w:rPr>
          <w:rFonts w:hint="cs"/>
          <w:b/>
          <w:bCs/>
          <w:color w:val="4444FF"/>
          <w:rtl/>
        </w:rPr>
        <w:t xml:space="preserve"> המשפט העליון (בדימוס)</w:t>
      </w:r>
    </w:p>
    <w:p w:rsidR="00017A48" w:rsidRPr="008E0A74" w:rsidRDefault="001929A5" w:rsidP="00525380">
      <w:pPr>
        <w:jc w:val="right"/>
        <w:rPr>
          <w:rtl/>
        </w:rPr>
      </w:pPr>
      <w:r w:rsidRPr="00F20549">
        <w:rPr>
          <w:rFonts w:hint="cs"/>
          <w:rtl/>
        </w:rPr>
        <w:t>כ"ג שבט, תשע"ט</w:t>
      </w:r>
    </w:p>
    <w:p w:rsidR="001929A5" w:rsidRDefault="001929A5" w:rsidP="001D0D19">
      <w:pPr>
        <w:jc w:val="right"/>
        <w:rPr>
          <w:rtl/>
        </w:rPr>
      </w:pPr>
      <w:r>
        <w:rPr>
          <w:rFonts w:hint="cs"/>
          <w:rtl/>
        </w:rPr>
        <w:t>29 ינואר, 2019</w:t>
      </w:r>
      <w:r w:rsidRPr="008E0A74">
        <w:rPr>
          <w:rFonts w:hint="cs"/>
          <w:rtl/>
        </w:rPr>
        <w:t xml:space="preserve"> </w:t>
      </w:r>
    </w:p>
    <w:p w:rsidR="00017A48" w:rsidRPr="008E0A74" w:rsidRDefault="00017A48" w:rsidP="00175E5C">
      <w:pPr>
        <w:jc w:val="right"/>
        <w:rPr>
          <w:rtl/>
        </w:rPr>
      </w:pPr>
      <w:r w:rsidRPr="008E0A74">
        <w:rPr>
          <w:rFonts w:hint="cs"/>
          <w:rtl/>
        </w:rPr>
        <w:t xml:space="preserve">מספרנו: </w:t>
      </w:r>
      <w:r w:rsidR="001929A5">
        <w:rPr>
          <w:rFonts w:hint="cs"/>
          <w:rtl/>
        </w:rPr>
        <w:t>821/18</w:t>
      </w:r>
      <w:r w:rsidR="00175E5C">
        <w:rPr>
          <w:rFonts w:hint="cs"/>
          <w:strike/>
          <w:rtl/>
        </w:rPr>
        <w:t xml:space="preserve">  </w:t>
      </w:r>
    </w:p>
    <w:p w:rsidR="00017A48" w:rsidRPr="008E0A74" w:rsidRDefault="001D0D19" w:rsidP="00525380">
      <w:pPr>
        <w:jc w:val="center"/>
        <w:outlineLvl w:val="0"/>
        <w:rPr>
          <w:b/>
          <w:bCs/>
          <w:u w:val="single"/>
          <w:rtl/>
        </w:rPr>
      </w:pPr>
      <w:r>
        <w:rPr>
          <w:rFonts w:hint="cs"/>
          <w:b/>
          <w:bCs/>
          <w:u w:val="single"/>
          <w:rtl/>
        </w:rPr>
        <w:t xml:space="preserve">תמצית </w:t>
      </w:r>
      <w:r w:rsidR="00017A48" w:rsidRPr="008E0A74">
        <w:rPr>
          <w:rFonts w:hint="cs"/>
          <w:b/>
          <w:bCs/>
          <w:u w:val="single"/>
          <w:rtl/>
        </w:rPr>
        <w:t>החלטה</w:t>
      </w:r>
    </w:p>
    <w:p w:rsidR="00823256" w:rsidRDefault="00823256" w:rsidP="00175E5C">
      <w:pPr>
        <w:jc w:val="center"/>
        <w:outlineLvl w:val="0"/>
        <w:rPr>
          <w:b/>
          <w:bCs/>
          <w:sz w:val="24"/>
          <w:szCs w:val="24"/>
          <w:rtl/>
        </w:rPr>
      </w:pPr>
      <w:r w:rsidRPr="005E2003">
        <w:rPr>
          <w:rFonts w:hint="cs"/>
          <w:b/>
          <w:bCs/>
          <w:sz w:val="24"/>
          <w:szCs w:val="24"/>
          <w:rtl/>
        </w:rPr>
        <w:t>על</w:t>
      </w:r>
      <w:r w:rsidR="00175E5C">
        <w:rPr>
          <w:rFonts w:hint="cs"/>
          <w:b/>
          <w:bCs/>
          <w:sz w:val="24"/>
          <w:szCs w:val="24"/>
          <w:rtl/>
        </w:rPr>
        <w:t xml:space="preserve"> הטעמים לקיומו של</w:t>
      </w:r>
      <w:r w:rsidRPr="005E2003">
        <w:rPr>
          <w:rFonts w:hint="cs"/>
          <w:b/>
          <w:bCs/>
          <w:sz w:val="24"/>
          <w:szCs w:val="24"/>
          <w:rtl/>
        </w:rPr>
        <w:t xml:space="preserve"> </w:t>
      </w:r>
      <w:r w:rsidR="004C237C">
        <w:rPr>
          <w:rFonts w:hint="cs"/>
          <w:b/>
          <w:bCs/>
          <w:sz w:val="24"/>
          <w:szCs w:val="24"/>
          <w:rtl/>
        </w:rPr>
        <w:t xml:space="preserve">דיון מחוץ לפרוטוקול </w:t>
      </w:r>
    </w:p>
    <w:p w:rsidR="004C237C" w:rsidRDefault="004C237C" w:rsidP="004C237C">
      <w:pPr>
        <w:outlineLvl w:val="0"/>
        <w:rPr>
          <w:b/>
          <w:bCs/>
          <w:sz w:val="24"/>
          <w:szCs w:val="24"/>
          <w:rtl/>
        </w:rPr>
      </w:pPr>
    </w:p>
    <w:p w:rsidR="004C237C" w:rsidRDefault="004C237C" w:rsidP="00175E5C">
      <w:pPr>
        <w:jc w:val="both"/>
        <w:outlineLvl w:val="0"/>
        <w:rPr>
          <w:b/>
          <w:bCs/>
          <w:sz w:val="24"/>
          <w:szCs w:val="24"/>
          <w:rtl/>
        </w:rPr>
      </w:pPr>
      <w:r w:rsidRPr="004C237C">
        <w:rPr>
          <w:rFonts w:hint="cs"/>
          <w:b/>
          <w:bCs/>
          <w:sz w:val="24"/>
          <w:szCs w:val="24"/>
          <w:u w:val="single"/>
          <w:rtl/>
        </w:rPr>
        <w:t>תקציר:</w:t>
      </w:r>
      <w:r>
        <w:rPr>
          <w:rFonts w:hint="cs"/>
          <w:b/>
          <w:bCs/>
          <w:sz w:val="24"/>
          <w:szCs w:val="24"/>
          <w:rtl/>
        </w:rPr>
        <w:t xml:space="preserve"> מתלונן הלין על כך, שדיון בתיק פלילי </w:t>
      </w:r>
      <w:r w:rsidR="00D0096D">
        <w:rPr>
          <w:rFonts w:hint="cs"/>
          <w:b/>
          <w:bCs/>
          <w:sz w:val="24"/>
          <w:szCs w:val="24"/>
          <w:rtl/>
        </w:rPr>
        <w:t>שעניינו בכתב אישום שהוגש</w:t>
      </w:r>
      <w:r>
        <w:rPr>
          <w:rFonts w:hint="cs"/>
          <w:b/>
          <w:bCs/>
          <w:sz w:val="24"/>
          <w:szCs w:val="24"/>
          <w:rtl/>
        </w:rPr>
        <w:t xml:space="preserve"> נגד אישיות ציבורית מוכרת, התקיים בלשכתו של השופט ולא תועד בפרוטוקול. </w:t>
      </w:r>
      <w:r w:rsidR="00CF1740">
        <w:rPr>
          <w:rFonts w:hint="cs"/>
          <w:b/>
          <w:bCs/>
          <w:sz w:val="24"/>
          <w:szCs w:val="24"/>
          <w:rtl/>
        </w:rPr>
        <w:t>לטענתו, הדבר אינו מתיישב עם עקרון פומביות הקבוע בסעיף 3 לחוק יסוד: השפיטה ו</w:t>
      </w:r>
      <w:r w:rsidR="00D0096D">
        <w:rPr>
          <w:rFonts w:hint="cs"/>
          <w:b/>
          <w:bCs/>
          <w:sz w:val="24"/>
          <w:szCs w:val="24"/>
          <w:rtl/>
        </w:rPr>
        <w:t>ב</w:t>
      </w:r>
      <w:r w:rsidR="00CF1740">
        <w:rPr>
          <w:rFonts w:hint="cs"/>
          <w:b/>
          <w:bCs/>
          <w:sz w:val="24"/>
          <w:szCs w:val="24"/>
          <w:rtl/>
        </w:rPr>
        <w:t>סעיף 68</w:t>
      </w:r>
      <w:r w:rsidR="00D0096D">
        <w:rPr>
          <w:rFonts w:hint="cs"/>
          <w:b/>
          <w:bCs/>
          <w:sz w:val="24"/>
          <w:szCs w:val="24"/>
          <w:rtl/>
        </w:rPr>
        <w:t>(א)</w:t>
      </w:r>
      <w:r w:rsidR="00CF1740">
        <w:rPr>
          <w:rFonts w:hint="cs"/>
          <w:b/>
          <w:bCs/>
          <w:sz w:val="24"/>
          <w:szCs w:val="24"/>
          <w:rtl/>
        </w:rPr>
        <w:t xml:space="preserve"> לחוק בתי המשפט [נוסח משולב], התשמ"ד-1984</w:t>
      </w:r>
      <w:r w:rsidR="00175E5C">
        <w:rPr>
          <w:rFonts w:hint="cs"/>
          <w:b/>
          <w:bCs/>
          <w:sz w:val="24"/>
          <w:szCs w:val="24"/>
          <w:rtl/>
        </w:rPr>
        <w:t>.</w:t>
      </w:r>
      <w:r w:rsidR="00CF1740">
        <w:rPr>
          <w:rFonts w:hint="cs"/>
          <w:b/>
          <w:bCs/>
          <w:sz w:val="24"/>
          <w:szCs w:val="24"/>
          <w:rtl/>
        </w:rPr>
        <w:t xml:space="preserve"> </w:t>
      </w:r>
      <w:r w:rsidR="00175E5C">
        <w:rPr>
          <w:rFonts w:hint="cs"/>
          <w:b/>
          <w:bCs/>
          <w:sz w:val="24"/>
          <w:szCs w:val="24"/>
          <w:rtl/>
        </w:rPr>
        <w:t xml:space="preserve">נטען, כי </w:t>
      </w:r>
      <w:r w:rsidR="00D0096D">
        <w:rPr>
          <w:rFonts w:hint="cs"/>
          <w:b/>
          <w:bCs/>
          <w:sz w:val="24"/>
          <w:szCs w:val="24"/>
          <w:rtl/>
        </w:rPr>
        <w:t>בנסיבות העניין לא מתקיימת אף לא אחת מ</w:t>
      </w:r>
      <w:r w:rsidR="00CF1740">
        <w:rPr>
          <w:rFonts w:hint="cs"/>
          <w:b/>
          <w:bCs/>
          <w:sz w:val="24"/>
          <w:szCs w:val="24"/>
          <w:rtl/>
        </w:rPr>
        <w:t>החלופות המנויות בסעי</w:t>
      </w:r>
      <w:r w:rsidR="00437DA0">
        <w:rPr>
          <w:rFonts w:hint="cs"/>
          <w:b/>
          <w:bCs/>
          <w:sz w:val="24"/>
          <w:szCs w:val="24"/>
          <w:rtl/>
        </w:rPr>
        <w:t>פים</w:t>
      </w:r>
      <w:r w:rsidR="00D0096D">
        <w:rPr>
          <w:rFonts w:hint="cs"/>
          <w:b/>
          <w:bCs/>
          <w:sz w:val="24"/>
          <w:szCs w:val="24"/>
          <w:rtl/>
        </w:rPr>
        <w:t xml:space="preserve"> 68(ב)</w:t>
      </w:r>
      <w:r w:rsidR="00437DA0">
        <w:rPr>
          <w:rFonts w:hint="cs"/>
          <w:b/>
          <w:bCs/>
          <w:sz w:val="24"/>
          <w:szCs w:val="24"/>
          <w:rtl/>
        </w:rPr>
        <w:t xml:space="preserve">-68(ג) </w:t>
      </w:r>
      <w:r w:rsidR="00175E5C">
        <w:rPr>
          <w:rFonts w:hint="cs"/>
          <w:b/>
          <w:bCs/>
          <w:sz w:val="24"/>
          <w:szCs w:val="24"/>
          <w:rtl/>
        </w:rPr>
        <w:t>ל</w:t>
      </w:r>
      <w:r w:rsidR="00D0096D">
        <w:rPr>
          <w:rFonts w:hint="cs"/>
          <w:b/>
          <w:bCs/>
          <w:sz w:val="24"/>
          <w:szCs w:val="24"/>
          <w:rtl/>
        </w:rPr>
        <w:t>חוק</w:t>
      </w:r>
      <w:r w:rsidR="00175E5C">
        <w:rPr>
          <w:rFonts w:hint="cs"/>
          <w:b/>
          <w:bCs/>
          <w:sz w:val="24"/>
          <w:szCs w:val="24"/>
          <w:rtl/>
        </w:rPr>
        <w:t xml:space="preserve"> זה</w:t>
      </w:r>
      <w:r w:rsidR="00D0096D">
        <w:rPr>
          <w:rFonts w:hint="cs"/>
          <w:b/>
          <w:bCs/>
          <w:sz w:val="24"/>
          <w:szCs w:val="24"/>
          <w:rtl/>
        </w:rPr>
        <w:t>,</w:t>
      </w:r>
      <w:r w:rsidR="00CF1740">
        <w:rPr>
          <w:rFonts w:hint="cs"/>
          <w:b/>
          <w:bCs/>
          <w:sz w:val="24"/>
          <w:szCs w:val="24"/>
          <w:rtl/>
        </w:rPr>
        <w:t xml:space="preserve"> </w:t>
      </w:r>
      <w:r w:rsidR="00D0096D" w:rsidRPr="00D0096D">
        <w:rPr>
          <w:rFonts w:hint="cs"/>
          <w:b/>
          <w:bCs/>
          <w:sz w:val="24"/>
          <w:szCs w:val="24"/>
          <w:rtl/>
        </w:rPr>
        <w:t>הקובע</w:t>
      </w:r>
      <w:r w:rsidR="00437DA0">
        <w:rPr>
          <w:rFonts w:hint="cs"/>
          <w:b/>
          <w:bCs/>
          <w:sz w:val="24"/>
          <w:szCs w:val="24"/>
          <w:rtl/>
        </w:rPr>
        <w:t>ים</w:t>
      </w:r>
      <w:r w:rsidR="00D0096D" w:rsidRPr="00D0096D">
        <w:rPr>
          <w:rFonts w:hint="cs"/>
          <w:b/>
          <w:bCs/>
          <w:sz w:val="24"/>
          <w:szCs w:val="24"/>
          <w:rtl/>
        </w:rPr>
        <w:t xml:space="preserve"> אימתי רשאי בית המשפט לדון בדלתיים סגורות</w:t>
      </w:r>
      <w:r w:rsidR="00CF1740">
        <w:rPr>
          <w:rFonts w:hint="cs"/>
          <w:b/>
          <w:bCs/>
          <w:sz w:val="24"/>
          <w:szCs w:val="24"/>
          <w:rtl/>
        </w:rPr>
        <w:t>. עוד טען</w:t>
      </w:r>
      <w:r w:rsidR="00D0096D">
        <w:rPr>
          <w:rFonts w:hint="cs"/>
          <w:b/>
          <w:bCs/>
          <w:sz w:val="24"/>
          <w:szCs w:val="24"/>
          <w:rtl/>
        </w:rPr>
        <w:t xml:space="preserve"> המתלונן</w:t>
      </w:r>
      <w:r w:rsidR="00CF1740">
        <w:rPr>
          <w:rFonts w:hint="cs"/>
          <w:b/>
          <w:bCs/>
          <w:sz w:val="24"/>
          <w:szCs w:val="24"/>
          <w:rtl/>
        </w:rPr>
        <w:t>, כי מן הראוי שההליך יתברר בפני בית המשפט, לעיני הציבור, ולא בהליך של גישור פלילי. התלונה נדחתה.</w:t>
      </w:r>
    </w:p>
    <w:p w:rsidR="00823256" w:rsidRDefault="00823256" w:rsidP="00823256">
      <w:pPr>
        <w:jc w:val="center"/>
        <w:rPr>
          <w:b/>
          <w:bCs/>
          <w:sz w:val="24"/>
          <w:szCs w:val="24"/>
          <w:rtl/>
        </w:rPr>
      </w:pPr>
    </w:p>
    <w:p w:rsidR="004C237C" w:rsidRPr="00014859" w:rsidRDefault="004C237C" w:rsidP="004C237C">
      <w:pPr>
        <w:jc w:val="right"/>
        <w:rPr>
          <w:b/>
          <w:bCs/>
          <w:u w:val="single"/>
          <w:rtl/>
        </w:rPr>
      </w:pPr>
    </w:p>
    <w:p w:rsidR="004C237C" w:rsidRDefault="004C237C" w:rsidP="00175E5C">
      <w:pPr>
        <w:spacing w:line="360" w:lineRule="auto"/>
        <w:jc w:val="both"/>
        <w:rPr>
          <w:rtl/>
        </w:rPr>
      </w:pPr>
      <w:r>
        <w:rPr>
          <w:rFonts w:hint="cs"/>
          <w:rtl/>
        </w:rPr>
        <w:t>1.</w:t>
      </w:r>
      <w:r>
        <w:rPr>
          <w:rFonts w:hint="cs"/>
          <w:rtl/>
        </w:rPr>
        <w:tab/>
        <w:t xml:space="preserve">עניינו של התיק שבכותרת הוא בכתב אישום שהוגש נגד </w:t>
      </w:r>
      <w:r w:rsidR="00CF1740">
        <w:rPr>
          <w:rFonts w:hint="cs"/>
          <w:rtl/>
        </w:rPr>
        <w:t>אישיות ציבורית מוכרת</w:t>
      </w:r>
      <w:r>
        <w:rPr>
          <w:rFonts w:hint="cs"/>
          <w:rtl/>
        </w:rPr>
        <w:t xml:space="preserve">, </w:t>
      </w:r>
      <w:r w:rsidR="00D0096D">
        <w:rPr>
          <w:rFonts w:hint="cs"/>
          <w:rtl/>
        </w:rPr>
        <w:t xml:space="preserve">ובו מיוחסות </w:t>
      </w:r>
      <w:r>
        <w:rPr>
          <w:rFonts w:hint="cs"/>
          <w:rtl/>
        </w:rPr>
        <w:t>לה</w:t>
      </w:r>
      <w:r w:rsidR="00CF1740">
        <w:rPr>
          <w:rFonts w:hint="cs"/>
          <w:rtl/>
        </w:rPr>
        <w:t xml:space="preserve"> (ולנאשם נוסף)</w:t>
      </w:r>
      <w:r>
        <w:rPr>
          <w:rFonts w:hint="cs"/>
          <w:rtl/>
        </w:rPr>
        <w:t xml:space="preserve"> עבירות שונות לפי חוק העונשין, התשל"ז-1977. ב</w:t>
      </w:r>
      <w:r w:rsidR="00D0096D">
        <w:rPr>
          <w:rFonts w:hint="cs"/>
          <w:rtl/>
        </w:rPr>
        <w:t>תום ה</w:t>
      </w:r>
      <w:r>
        <w:rPr>
          <w:rFonts w:hint="cs"/>
          <w:rtl/>
        </w:rPr>
        <w:t xml:space="preserve">דיון </w:t>
      </w:r>
      <w:r w:rsidR="00CF1740">
        <w:rPr>
          <w:rFonts w:hint="cs"/>
          <w:rtl/>
        </w:rPr>
        <w:t>הראשון</w:t>
      </w:r>
      <w:r>
        <w:rPr>
          <w:rFonts w:hint="cs"/>
          <w:rtl/>
        </w:rPr>
        <w:t xml:space="preserve"> </w:t>
      </w:r>
      <w:r w:rsidR="00CF1740">
        <w:rPr>
          <w:rFonts w:hint="cs"/>
          <w:rtl/>
        </w:rPr>
        <w:t>שהתקיים בתיק</w:t>
      </w:r>
      <w:r w:rsidR="00175E5C">
        <w:rPr>
          <w:rFonts w:hint="cs"/>
          <w:rtl/>
        </w:rPr>
        <w:t>, נתן השופט-</w:t>
      </w:r>
      <w:proofErr w:type="spellStart"/>
      <w:r w:rsidR="00175E5C">
        <w:rPr>
          <w:rFonts w:hint="cs"/>
          <w:rtl/>
        </w:rPr>
        <w:t>הנילון</w:t>
      </w:r>
      <w:proofErr w:type="spellEnd"/>
      <w:r w:rsidR="00175E5C">
        <w:rPr>
          <w:rFonts w:hint="cs"/>
          <w:rtl/>
        </w:rPr>
        <w:t xml:space="preserve"> </w:t>
      </w:r>
      <w:r>
        <w:rPr>
          <w:rFonts w:hint="cs"/>
          <w:rtl/>
        </w:rPr>
        <w:t xml:space="preserve">החלטה שבה נאמר, </w:t>
      </w:r>
      <w:r w:rsidR="00CF1740">
        <w:rPr>
          <w:rFonts w:hint="cs"/>
          <w:rtl/>
        </w:rPr>
        <w:t xml:space="preserve">כי הוצע לבאי כוחם של הצדדים לקיים ישיבה בלשכתו, ללא </w:t>
      </w:r>
      <w:r w:rsidR="00175E5C">
        <w:rPr>
          <w:rFonts w:hint="cs"/>
          <w:rtl/>
        </w:rPr>
        <w:t>נוכחות</w:t>
      </w:r>
      <w:r w:rsidR="00CF1740">
        <w:rPr>
          <w:rFonts w:hint="cs"/>
          <w:rtl/>
        </w:rPr>
        <w:t xml:space="preserve"> </w:t>
      </w:r>
      <w:r w:rsidR="00175E5C">
        <w:rPr>
          <w:rFonts w:hint="cs"/>
          <w:rtl/>
        </w:rPr>
        <w:t>ה</w:t>
      </w:r>
      <w:r w:rsidR="00CF1740">
        <w:rPr>
          <w:rFonts w:hint="cs"/>
          <w:rtl/>
        </w:rPr>
        <w:t xml:space="preserve">נאשמים, וזאת על מנת לבחון אפשרויות </w:t>
      </w:r>
      <w:r>
        <w:rPr>
          <w:rFonts w:hint="cs"/>
          <w:rtl/>
        </w:rPr>
        <w:t>לצמצום המחלוקת או אולי אף ל</w:t>
      </w:r>
      <w:r w:rsidR="00175E5C">
        <w:rPr>
          <w:rFonts w:hint="cs"/>
          <w:rtl/>
        </w:rPr>
        <w:t>הביא ל</w:t>
      </w:r>
      <w:r>
        <w:rPr>
          <w:rFonts w:hint="cs"/>
          <w:rtl/>
        </w:rPr>
        <w:t>סיום התיק. הצדדים נעתרו ל</w:t>
      </w:r>
      <w:r w:rsidR="00CF1740">
        <w:rPr>
          <w:rFonts w:hint="cs"/>
          <w:rtl/>
        </w:rPr>
        <w:t xml:space="preserve">הצעה. </w:t>
      </w:r>
    </w:p>
    <w:p w:rsidR="00175E5C" w:rsidRDefault="004C237C" w:rsidP="00175E5C">
      <w:pPr>
        <w:spacing w:line="360" w:lineRule="auto"/>
        <w:ind w:firstLine="509"/>
        <w:jc w:val="both"/>
        <w:rPr>
          <w:rtl/>
        </w:rPr>
      </w:pPr>
      <w:r>
        <w:rPr>
          <w:rFonts w:hint="cs"/>
          <w:rtl/>
        </w:rPr>
        <w:t xml:space="preserve">בפתח פרוטוקול הדיון </w:t>
      </w:r>
      <w:r w:rsidR="00CF1740">
        <w:rPr>
          <w:rFonts w:hint="cs"/>
          <w:rtl/>
        </w:rPr>
        <w:t>שהתקיים לאחר מכן</w:t>
      </w:r>
      <w:r w:rsidR="00175E5C">
        <w:rPr>
          <w:rFonts w:hint="cs"/>
          <w:rtl/>
        </w:rPr>
        <w:t>,</w:t>
      </w:r>
      <w:r w:rsidR="00CF1740">
        <w:rPr>
          <w:rFonts w:hint="cs"/>
          <w:rtl/>
        </w:rPr>
        <w:t xml:space="preserve"> נכתב:</w:t>
      </w:r>
      <w:r>
        <w:rPr>
          <w:rFonts w:hint="cs"/>
          <w:rtl/>
        </w:rPr>
        <w:t xml:space="preserve"> "דיון מחוץ לפרוטוקול", </w:t>
      </w:r>
      <w:r w:rsidR="00175E5C">
        <w:rPr>
          <w:rFonts w:hint="cs"/>
          <w:rtl/>
        </w:rPr>
        <w:t xml:space="preserve">ובהמשך </w:t>
      </w:r>
      <w:r>
        <w:rPr>
          <w:rFonts w:hint="cs"/>
          <w:rtl/>
        </w:rPr>
        <w:t xml:space="preserve"> ניתנה החלטה, לפיה </w:t>
      </w:r>
      <w:r w:rsidR="00CF1740">
        <w:rPr>
          <w:rFonts w:hint="cs"/>
          <w:rtl/>
        </w:rPr>
        <w:t>על</w:t>
      </w:r>
      <w:r>
        <w:rPr>
          <w:rFonts w:hint="cs"/>
          <w:rtl/>
        </w:rPr>
        <w:t xml:space="preserve"> הצדדים </w:t>
      </w:r>
      <w:r w:rsidR="00CF1740">
        <w:rPr>
          <w:rFonts w:hint="cs"/>
          <w:rtl/>
        </w:rPr>
        <w:t xml:space="preserve">להודיע </w:t>
      </w:r>
      <w:r>
        <w:rPr>
          <w:rFonts w:hint="cs"/>
          <w:rtl/>
        </w:rPr>
        <w:t xml:space="preserve">אם ניתן להעביר את התיק לגישור פלילי בפני </w:t>
      </w:r>
      <w:r w:rsidR="00CF1740">
        <w:rPr>
          <w:rFonts w:hint="cs"/>
          <w:rtl/>
        </w:rPr>
        <w:t xml:space="preserve">מותב אחר, </w:t>
      </w:r>
      <w:r>
        <w:rPr>
          <w:rFonts w:hint="cs"/>
          <w:rtl/>
        </w:rPr>
        <w:t xml:space="preserve">אשר אינו דן בתיק העיקרי. </w:t>
      </w:r>
    </w:p>
    <w:p w:rsidR="004C237C" w:rsidRDefault="00CF1740" w:rsidP="00175E5C">
      <w:pPr>
        <w:spacing w:line="360" w:lineRule="auto"/>
        <w:ind w:firstLine="509"/>
        <w:jc w:val="both"/>
        <w:rPr>
          <w:rtl/>
        </w:rPr>
      </w:pPr>
      <w:r>
        <w:rPr>
          <w:rFonts w:hint="cs"/>
          <w:rtl/>
        </w:rPr>
        <w:t>בסופו של יום, הועבר התיק, לבקשת הצדדים, להליך של גישור</w:t>
      </w:r>
      <w:r w:rsidR="00175E5C">
        <w:rPr>
          <w:rFonts w:hint="cs"/>
          <w:rtl/>
        </w:rPr>
        <w:t>,</w:t>
      </w:r>
      <w:r>
        <w:rPr>
          <w:rFonts w:hint="cs"/>
          <w:rtl/>
        </w:rPr>
        <w:t xml:space="preserve"> כאמור.</w:t>
      </w:r>
    </w:p>
    <w:p w:rsidR="004C237C" w:rsidRDefault="004C237C" w:rsidP="004C237C">
      <w:pPr>
        <w:jc w:val="both"/>
        <w:rPr>
          <w:rtl/>
        </w:rPr>
      </w:pPr>
    </w:p>
    <w:p w:rsidR="004C237C" w:rsidRDefault="004C237C" w:rsidP="00175E5C">
      <w:pPr>
        <w:spacing w:line="360" w:lineRule="auto"/>
        <w:jc w:val="both"/>
        <w:rPr>
          <w:rtl/>
        </w:rPr>
      </w:pPr>
      <w:r>
        <w:rPr>
          <w:rFonts w:hint="cs"/>
          <w:rtl/>
        </w:rPr>
        <w:t>2.</w:t>
      </w:r>
      <w:r>
        <w:rPr>
          <w:rFonts w:hint="cs"/>
          <w:rtl/>
        </w:rPr>
        <w:tab/>
        <w:t>המתלונן</w:t>
      </w:r>
      <w:r w:rsidR="00175E5C">
        <w:rPr>
          <w:rFonts w:hint="cs"/>
          <w:rtl/>
        </w:rPr>
        <w:t xml:space="preserve"> שהוא עיתונאי</w:t>
      </w:r>
      <w:r>
        <w:rPr>
          <w:rFonts w:hint="cs"/>
          <w:rtl/>
        </w:rPr>
        <w:t>, אשר מציין כי מעמדו הוא כשל מתלונן ציבורי, מלין על ה</w:t>
      </w:r>
      <w:r w:rsidR="00175E5C">
        <w:rPr>
          <w:rFonts w:hint="cs"/>
          <w:rtl/>
        </w:rPr>
        <w:t>תנהלות ה</w:t>
      </w:r>
      <w:r>
        <w:rPr>
          <w:rFonts w:hint="cs"/>
          <w:rtl/>
        </w:rPr>
        <w:t xml:space="preserve">דיון </w:t>
      </w:r>
      <w:r w:rsidR="00CF1740">
        <w:rPr>
          <w:rFonts w:hint="cs"/>
          <w:rtl/>
        </w:rPr>
        <w:t>השני</w:t>
      </w:r>
      <w:r>
        <w:rPr>
          <w:rFonts w:hint="cs"/>
          <w:rtl/>
        </w:rPr>
        <w:t xml:space="preserve">. לטענתו, דיון </w:t>
      </w:r>
      <w:r w:rsidR="00175E5C">
        <w:rPr>
          <w:rFonts w:hint="cs"/>
          <w:rtl/>
        </w:rPr>
        <w:t xml:space="preserve">זה </w:t>
      </w:r>
      <w:r>
        <w:rPr>
          <w:rFonts w:hint="cs"/>
          <w:rtl/>
        </w:rPr>
        <w:t xml:space="preserve">התקיים בלשכתו של </w:t>
      </w:r>
      <w:r w:rsidR="00D0096D">
        <w:rPr>
          <w:rFonts w:hint="cs"/>
          <w:rtl/>
        </w:rPr>
        <w:t>השופט</w:t>
      </w:r>
      <w:r>
        <w:rPr>
          <w:rFonts w:hint="cs"/>
          <w:rtl/>
        </w:rPr>
        <w:t xml:space="preserve"> ולא באולם בית המשפט, וזאת בניגוד לעקרון פומביות הדיון הקבוע בסעיף 3 לחוק יסוד: השפיטה ובסעיף 68(א) לחוק בתי המשפט [נוסח משולב], התשמ"ד-1984</w:t>
      </w:r>
      <w:r w:rsidRPr="0091170E">
        <w:rPr>
          <w:rFonts w:hint="cs"/>
          <w:rtl/>
        </w:rPr>
        <w:t xml:space="preserve"> </w:t>
      </w:r>
      <w:r>
        <w:rPr>
          <w:rFonts w:hint="cs"/>
          <w:rtl/>
        </w:rPr>
        <w:t xml:space="preserve">(להלן: חוק בתי המשפט). ההחלטה לקיים את הדיון בלשכה, כך הוא כותב, מהווה, הלכה למעשה, סגירת דלתיים בשל אי יכולתם של אנשים מקרב הציבור, לרבות עיתונאים, לסקר את הנעשה והנאמר בדיון, כאשר סגירת הדלתיים  נעשתה ללא הסמכה בדין. זאת, משום שאפשרות זו איננה נמנית עם אחת החלופות המנויות בסעיף 68(ב) לחוק בתי המשפט, הקובע אימתי רשאי בית המשפט לדון בדלתיים סגורות, ואף </w:t>
      </w:r>
      <w:r>
        <w:rPr>
          <w:rFonts w:hint="cs"/>
          <w:rtl/>
        </w:rPr>
        <w:lastRenderedPageBreak/>
        <w:t>אינה נובעת מהוראת סעיף 68(ג) לחוק בתי המשפט, לפיה בבקשות לצווי ביניים, לצווים זמניים ולהחלטות ביניים אחרות, רשאי בית המשפט לדון בדלתיים סגורות. המתלונן הוסיף עוד, כי החלטה פורמלית ומנומקת לפיה הדיון יתקיים בדלתיים סגורות</w:t>
      </w:r>
      <w:r w:rsidRPr="00211589">
        <w:rPr>
          <w:rFonts w:hint="cs"/>
          <w:rtl/>
        </w:rPr>
        <w:t xml:space="preserve"> </w:t>
      </w:r>
      <w:r>
        <w:rPr>
          <w:rFonts w:hint="cs"/>
          <w:rtl/>
        </w:rPr>
        <w:t>לא ניתנה.</w:t>
      </w:r>
    </w:p>
    <w:p w:rsidR="004C237C" w:rsidRDefault="004C237C" w:rsidP="004C237C">
      <w:pPr>
        <w:jc w:val="both"/>
        <w:rPr>
          <w:rtl/>
        </w:rPr>
      </w:pPr>
    </w:p>
    <w:p w:rsidR="004C237C" w:rsidRDefault="004C237C" w:rsidP="00175E5C">
      <w:pPr>
        <w:spacing w:line="360" w:lineRule="auto"/>
        <w:jc w:val="both"/>
        <w:rPr>
          <w:rtl/>
        </w:rPr>
      </w:pPr>
      <w:r>
        <w:rPr>
          <w:rFonts w:hint="cs"/>
          <w:rtl/>
        </w:rPr>
        <w:t>3.</w:t>
      </w:r>
      <w:r>
        <w:rPr>
          <w:rFonts w:hint="cs"/>
          <w:rtl/>
        </w:rPr>
        <w:tab/>
        <w:t>עוד טוען המתלונן, כי יש להניח, שבמסגרת הדיון "מחוץ לפרוטוקול"</w:t>
      </w:r>
      <w:r w:rsidR="00175E5C">
        <w:rPr>
          <w:rFonts w:hint="cs"/>
          <w:rtl/>
        </w:rPr>
        <w:t>,</w:t>
      </w:r>
      <w:r>
        <w:rPr>
          <w:rFonts w:hint="cs"/>
          <w:rtl/>
        </w:rPr>
        <w:t xml:space="preserve"> שהתקיים בלשכה, הפעיל ה</w:t>
      </w:r>
      <w:r w:rsidR="00D0096D">
        <w:rPr>
          <w:rFonts w:hint="cs"/>
          <w:rtl/>
        </w:rPr>
        <w:t>שופט</w:t>
      </w:r>
      <w:r>
        <w:rPr>
          <w:rFonts w:hint="cs"/>
          <w:rtl/>
        </w:rPr>
        <w:t xml:space="preserve"> "לחץ על הצדדים להסכים להליך של גישור פלילי". בעשותו כן, הפר </w:t>
      </w:r>
      <w:r w:rsidR="00D0096D">
        <w:rPr>
          <w:rFonts w:hint="cs"/>
          <w:rtl/>
        </w:rPr>
        <w:t>השופט</w:t>
      </w:r>
      <w:r>
        <w:rPr>
          <w:rFonts w:hint="cs"/>
          <w:rtl/>
        </w:rPr>
        <w:t xml:space="preserve"> את החובה לנהל פרוטוקול בהליך משפטי מסוג זה. עוד מציין המתלונן, כי לוּ פעל </w:t>
      </w:r>
      <w:r w:rsidR="00D0096D">
        <w:rPr>
          <w:rFonts w:hint="cs"/>
          <w:rtl/>
        </w:rPr>
        <w:t>השופט</w:t>
      </w:r>
      <w:r>
        <w:rPr>
          <w:rFonts w:hint="cs"/>
          <w:rtl/>
        </w:rPr>
        <w:t xml:space="preserve"> כמגשר על פי סעיף 79ג לחוק בתי המשפט, הרי שהדבר היה אסור על פי חוק. בהקשר זה, </w:t>
      </w:r>
      <w:r w:rsidR="00175E5C">
        <w:rPr>
          <w:rFonts w:hint="cs"/>
          <w:rtl/>
        </w:rPr>
        <w:t>ה</w:t>
      </w:r>
      <w:r>
        <w:rPr>
          <w:rFonts w:hint="cs"/>
          <w:rtl/>
        </w:rPr>
        <w:t xml:space="preserve">פנה המתלונן לדברים שכתב הנציב הקודם, </w:t>
      </w:r>
      <w:r w:rsidRPr="00211589">
        <w:rPr>
          <w:rtl/>
        </w:rPr>
        <w:t>המשנה לנשיאה (בדימוס) אליעזר ריבלין, בהחלטתו מיום 11.11.18</w:t>
      </w:r>
      <w:r>
        <w:rPr>
          <w:rFonts w:hint="cs"/>
          <w:rtl/>
        </w:rPr>
        <w:t>,</w:t>
      </w:r>
      <w:r w:rsidRPr="00211589">
        <w:rPr>
          <w:rtl/>
        </w:rPr>
        <w:t xml:space="preserve"> בתלונה מס' 348/18 </w:t>
      </w:r>
      <w:r>
        <w:rPr>
          <w:rFonts w:hint="cs"/>
          <w:rtl/>
        </w:rPr>
        <w:t xml:space="preserve">על בית הדין הארצי לעבודה </w:t>
      </w:r>
      <w:r w:rsidRPr="00211589">
        <w:rPr>
          <w:rtl/>
        </w:rPr>
        <w:t>(תמצית ההחלטה פורסמה באתר האינטרנט של הנציבות)</w:t>
      </w:r>
      <w:r>
        <w:rPr>
          <w:rFonts w:hint="cs"/>
          <w:rtl/>
        </w:rPr>
        <w:t>,</w:t>
      </w:r>
      <w:r w:rsidRPr="00211589">
        <w:rPr>
          <w:rtl/>
        </w:rPr>
        <w:t xml:space="preserve"> בדבר עקרון החוקיות, האיסור שחל על בית </w:t>
      </w:r>
      <w:r>
        <w:rPr>
          <w:rFonts w:hint="cs"/>
          <w:rtl/>
        </w:rPr>
        <w:t>הדין</w:t>
      </w:r>
      <w:r w:rsidRPr="00211589">
        <w:rPr>
          <w:rtl/>
        </w:rPr>
        <w:t xml:space="preserve"> לשמש גם כמגשר</w:t>
      </w:r>
      <w:r>
        <w:rPr>
          <w:rFonts w:hint="cs"/>
          <w:rtl/>
        </w:rPr>
        <w:t>,</w:t>
      </w:r>
      <w:r w:rsidRPr="00211589">
        <w:rPr>
          <w:rtl/>
        </w:rPr>
        <w:t xml:space="preserve"> והפגיעה באמון הציבור מקום בו פעולת בית הדין נעשית "בחדר סגור, בהעדר פרוטוקול"</w:t>
      </w:r>
      <w:r>
        <w:rPr>
          <w:rFonts w:hint="cs"/>
          <w:rtl/>
        </w:rPr>
        <w:t>.</w:t>
      </w:r>
      <w:r w:rsidR="00175E5C">
        <w:rPr>
          <w:rFonts w:hint="cs"/>
          <w:rtl/>
        </w:rPr>
        <w:t xml:space="preserve"> </w:t>
      </w:r>
      <w:r>
        <w:rPr>
          <w:rFonts w:hint="cs"/>
          <w:rtl/>
        </w:rPr>
        <w:t xml:space="preserve">נוסף על כל אלה מציין המתלונן, כי בניהולו הפומבי של </w:t>
      </w:r>
      <w:r w:rsidR="00175E5C">
        <w:rPr>
          <w:rFonts w:hint="cs"/>
          <w:rtl/>
        </w:rPr>
        <w:t>ההליך, קיים עניין ציבורי מובהק.</w:t>
      </w:r>
    </w:p>
    <w:p w:rsidR="004C237C" w:rsidRDefault="004C237C" w:rsidP="004C237C">
      <w:pPr>
        <w:jc w:val="both"/>
        <w:rPr>
          <w:rtl/>
        </w:rPr>
      </w:pPr>
    </w:p>
    <w:p w:rsidR="004C237C" w:rsidRPr="00D05CF4" w:rsidRDefault="00175E5C" w:rsidP="00175E5C">
      <w:pPr>
        <w:spacing w:line="360" w:lineRule="auto"/>
        <w:jc w:val="both"/>
        <w:rPr>
          <w:rtl/>
        </w:rPr>
      </w:pPr>
      <w:r>
        <w:rPr>
          <w:rFonts w:hint="cs"/>
          <w:rtl/>
        </w:rPr>
        <w:t>4</w:t>
      </w:r>
      <w:r w:rsidR="004C237C" w:rsidRPr="00D05CF4">
        <w:rPr>
          <w:rFonts w:hint="cs"/>
          <w:rtl/>
        </w:rPr>
        <w:t>.</w:t>
      </w:r>
      <w:r w:rsidR="004C237C" w:rsidRPr="00D05CF4">
        <w:rPr>
          <w:rFonts w:hint="cs"/>
          <w:rtl/>
        </w:rPr>
        <w:tab/>
      </w:r>
      <w:r w:rsidR="004C237C">
        <w:rPr>
          <w:rFonts w:hint="cs"/>
          <w:rtl/>
        </w:rPr>
        <w:t xml:space="preserve">בתגובתו מסר </w:t>
      </w:r>
      <w:r w:rsidR="00D0096D">
        <w:rPr>
          <w:rFonts w:hint="cs"/>
          <w:rtl/>
        </w:rPr>
        <w:t>השופט</w:t>
      </w:r>
      <w:r w:rsidR="004C237C" w:rsidRPr="00D05CF4">
        <w:rPr>
          <w:rFonts w:hint="cs"/>
          <w:rtl/>
        </w:rPr>
        <w:t xml:space="preserve">, כי </w:t>
      </w:r>
      <w:r w:rsidR="00D0096D">
        <w:rPr>
          <w:rFonts w:hint="cs"/>
          <w:rtl/>
        </w:rPr>
        <w:t>ב</w:t>
      </w:r>
      <w:r w:rsidR="004C237C" w:rsidRPr="00D05CF4">
        <w:rPr>
          <w:rFonts w:hint="cs"/>
          <w:rtl/>
        </w:rPr>
        <w:t xml:space="preserve">דיון הראשון </w:t>
      </w:r>
      <w:r w:rsidR="00D0096D">
        <w:rPr>
          <w:rFonts w:hint="cs"/>
          <w:rtl/>
        </w:rPr>
        <w:t xml:space="preserve">שהתקיים, </w:t>
      </w:r>
      <w:r w:rsidR="004C237C" w:rsidRPr="00D05CF4">
        <w:rPr>
          <w:rFonts w:hint="cs"/>
          <w:rtl/>
        </w:rPr>
        <w:t>כמעט כל הנוכחים באולם היו אנשי תקשורת</w:t>
      </w:r>
      <w:r w:rsidR="004C237C">
        <w:rPr>
          <w:rFonts w:hint="cs"/>
          <w:rtl/>
        </w:rPr>
        <w:t>, ו</w:t>
      </w:r>
      <w:r w:rsidR="004C237C" w:rsidRPr="00D05CF4">
        <w:rPr>
          <w:rFonts w:hint="cs"/>
          <w:rtl/>
        </w:rPr>
        <w:t>עיון</w:t>
      </w:r>
      <w:r w:rsidR="004C237C" w:rsidRPr="00D05CF4">
        <w:rPr>
          <w:rtl/>
        </w:rPr>
        <w:t xml:space="preserve"> </w:t>
      </w:r>
      <w:r w:rsidR="004C237C" w:rsidRPr="00D05CF4">
        <w:rPr>
          <w:rFonts w:hint="cs"/>
          <w:rtl/>
        </w:rPr>
        <w:t>בפרוטוקול</w:t>
      </w:r>
      <w:r w:rsidR="004C237C" w:rsidRPr="00D05CF4">
        <w:rPr>
          <w:rtl/>
        </w:rPr>
        <w:t xml:space="preserve"> </w:t>
      </w:r>
      <w:r w:rsidR="004C237C" w:rsidRPr="00D05CF4">
        <w:rPr>
          <w:rFonts w:hint="cs"/>
          <w:rtl/>
        </w:rPr>
        <w:t>יכול</w:t>
      </w:r>
      <w:r w:rsidR="004C237C" w:rsidRPr="00D05CF4">
        <w:rPr>
          <w:rtl/>
        </w:rPr>
        <w:t xml:space="preserve"> </w:t>
      </w:r>
      <w:r w:rsidR="004C237C" w:rsidRPr="00D05CF4">
        <w:rPr>
          <w:rFonts w:hint="cs"/>
          <w:rtl/>
        </w:rPr>
        <w:t>להמחיש</w:t>
      </w:r>
      <w:r w:rsidR="004C237C" w:rsidRPr="00D05CF4">
        <w:rPr>
          <w:rtl/>
        </w:rPr>
        <w:t xml:space="preserve"> </w:t>
      </w:r>
      <w:r w:rsidR="004C237C" w:rsidRPr="00D05CF4">
        <w:rPr>
          <w:rFonts w:hint="cs"/>
          <w:rtl/>
        </w:rPr>
        <w:t>את</w:t>
      </w:r>
      <w:r w:rsidR="004C237C" w:rsidRPr="00D05CF4">
        <w:rPr>
          <w:rtl/>
        </w:rPr>
        <w:t xml:space="preserve"> </w:t>
      </w:r>
      <w:r w:rsidR="004C237C" w:rsidRPr="00D05CF4">
        <w:rPr>
          <w:rFonts w:hint="cs"/>
          <w:rtl/>
        </w:rPr>
        <w:t>האווירה</w:t>
      </w:r>
      <w:r w:rsidR="004C237C" w:rsidRPr="00D05CF4">
        <w:rPr>
          <w:rtl/>
        </w:rPr>
        <w:t xml:space="preserve"> </w:t>
      </w:r>
      <w:r w:rsidR="004C237C" w:rsidRPr="00D05CF4">
        <w:rPr>
          <w:rFonts w:hint="cs"/>
          <w:rtl/>
        </w:rPr>
        <w:t>ששררה</w:t>
      </w:r>
      <w:r w:rsidR="004C237C" w:rsidRPr="00D05CF4">
        <w:rPr>
          <w:rtl/>
        </w:rPr>
        <w:t xml:space="preserve"> </w:t>
      </w:r>
      <w:r w:rsidR="004C237C" w:rsidRPr="00D05CF4">
        <w:rPr>
          <w:rFonts w:hint="cs"/>
          <w:rtl/>
        </w:rPr>
        <w:t xml:space="preserve">באולם. כמקובל בתיקים מסוג זה, </w:t>
      </w:r>
      <w:r w:rsidR="004C237C">
        <w:rPr>
          <w:rFonts w:hint="cs"/>
          <w:rtl/>
        </w:rPr>
        <w:t xml:space="preserve">הוא </w:t>
      </w:r>
      <w:r w:rsidR="004C237C" w:rsidRPr="00D05CF4">
        <w:rPr>
          <w:rFonts w:hint="cs"/>
          <w:rtl/>
        </w:rPr>
        <w:t>ביקש לבחון כיצד רואים הצדדים את אופן ניהול ההליך</w:t>
      </w:r>
      <w:r w:rsidR="004C237C">
        <w:rPr>
          <w:rFonts w:hint="cs"/>
          <w:rtl/>
        </w:rPr>
        <w:t>,</w:t>
      </w:r>
      <w:r w:rsidR="004C237C" w:rsidRPr="00D05CF4">
        <w:rPr>
          <w:rFonts w:hint="cs"/>
          <w:rtl/>
        </w:rPr>
        <w:t xml:space="preserve"> וזאת על יסוד </w:t>
      </w:r>
      <w:r w:rsidR="004C237C">
        <w:rPr>
          <w:rFonts w:hint="cs"/>
          <w:rtl/>
        </w:rPr>
        <w:t>ה</w:t>
      </w:r>
      <w:r w:rsidR="004C237C" w:rsidRPr="00D05CF4">
        <w:rPr>
          <w:rFonts w:hint="cs"/>
          <w:rtl/>
        </w:rPr>
        <w:t>הנח</w:t>
      </w:r>
      <w:r w:rsidR="004C237C">
        <w:rPr>
          <w:rFonts w:hint="cs"/>
          <w:rtl/>
        </w:rPr>
        <w:t>ה,</w:t>
      </w:r>
      <w:r w:rsidR="004C237C" w:rsidRPr="00D05CF4">
        <w:rPr>
          <w:rFonts w:hint="cs"/>
          <w:rtl/>
        </w:rPr>
        <w:t xml:space="preserve"> </w:t>
      </w:r>
      <w:r w:rsidR="004C237C">
        <w:rPr>
          <w:rFonts w:hint="cs"/>
          <w:rtl/>
        </w:rPr>
        <w:t>כי ה</w:t>
      </w:r>
      <w:r w:rsidR="004C237C" w:rsidRPr="00D05CF4">
        <w:rPr>
          <w:rFonts w:hint="cs"/>
          <w:rtl/>
        </w:rPr>
        <w:t>אינטרס הציבור</w:t>
      </w:r>
      <w:r w:rsidR="004C237C">
        <w:rPr>
          <w:rFonts w:hint="cs"/>
          <w:rtl/>
        </w:rPr>
        <w:t>י</w:t>
      </w:r>
      <w:r w:rsidR="004C237C" w:rsidRPr="00D05CF4">
        <w:rPr>
          <w:rFonts w:hint="cs"/>
          <w:rtl/>
        </w:rPr>
        <w:t xml:space="preserve"> מחייב התנהלות דיונית יעילה ואפקטיבית, תוך חיסכון </w:t>
      </w:r>
      <w:r w:rsidR="004C237C">
        <w:rPr>
          <w:rFonts w:hint="cs"/>
          <w:rtl/>
        </w:rPr>
        <w:t>בזמנם</w:t>
      </w:r>
      <w:r w:rsidR="004C237C" w:rsidRPr="00D05CF4">
        <w:rPr>
          <w:rFonts w:hint="cs"/>
          <w:rtl/>
        </w:rPr>
        <w:t xml:space="preserve"> של בית המשפט והצדדים. נוכח האווירה באולם</w:t>
      </w:r>
      <w:r w:rsidR="004C237C">
        <w:rPr>
          <w:rFonts w:hint="cs"/>
          <w:rtl/>
        </w:rPr>
        <w:t>,</w:t>
      </w:r>
      <w:r w:rsidR="004C237C" w:rsidRPr="00D05CF4">
        <w:rPr>
          <w:rFonts w:hint="cs"/>
          <w:rtl/>
        </w:rPr>
        <w:t xml:space="preserve"> היה</w:t>
      </w:r>
      <w:r w:rsidR="004C237C" w:rsidRPr="00D05CF4">
        <w:rPr>
          <w:rtl/>
        </w:rPr>
        <w:t xml:space="preserve"> </w:t>
      </w:r>
      <w:r w:rsidR="004C237C" w:rsidRPr="00D05CF4">
        <w:rPr>
          <w:rFonts w:hint="cs"/>
          <w:rtl/>
        </w:rPr>
        <w:t>קושי</w:t>
      </w:r>
      <w:r w:rsidR="004C237C" w:rsidRPr="00D05CF4">
        <w:rPr>
          <w:rtl/>
        </w:rPr>
        <w:t xml:space="preserve"> </w:t>
      </w:r>
      <w:r w:rsidR="004C237C" w:rsidRPr="00D05CF4">
        <w:rPr>
          <w:rFonts w:hint="cs"/>
          <w:rtl/>
        </w:rPr>
        <w:t>רב</w:t>
      </w:r>
      <w:r w:rsidR="004C237C" w:rsidRPr="00D05CF4">
        <w:rPr>
          <w:rtl/>
        </w:rPr>
        <w:t xml:space="preserve"> </w:t>
      </w:r>
      <w:r w:rsidR="004C237C" w:rsidRPr="00D05CF4">
        <w:rPr>
          <w:rFonts w:hint="cs"/>
          <w:rtl/>
        </w:rPr>
        <w:t>לקבל</w:t>
      </w:r>
      <w:r w:rsidR="004C237C" w:rsidRPr="00D05CF4">
        <w:rPr>
          <w:rtl/>
        </w:rPr>
        <w:t xml:space="preserve"> </w:t>
      </w:r>
      <w:r w:rsidR="004C237C" w:rsidRPr="00D05CF4">
        <w:rPr>
          <w:rFonts w:hint="cs"/>
          <w:rtl/>
        </w:rPr>
        <w:t>את</w:t>
      </w:r>
      <w:r w:rsidR="004C237C" w:rsidRPr="00D05CF4">
        <w:rPr>
          <w:rtl/>
        </w:rPr>
        <w:t xml:space="preserve"> </w:t>
      </w:r>
      <w:r w:rsidR="004C237C" w:rsidRPr="00D05CF4">
        <w:rPr>
          <w:rFonts w:hint="cs"/>
          <w:rtl/>
        </w:rPr>
        <w:t>עמדת</w:t>
      </w:r>
      <w:r w:rsidR="004C237C" w:rsidRPr="00D05CF4">
        <w:rPr>
          <w:rtl/>
        </w:rPr>
        <w:t xml:space="preserve"> </w:t>
      </w:r>
      <w:r w:rsidR="004C237C" w:rsidRPr="00D05CF4">
        <w:rPr>
          <w:rFonts w:hint="cs"/>
          <w:rtl/>
        </w:rPr>
        <w:t>הצדדים</w:t>
      </w:r>
      <w:r w:rsidR="004C237C" w:rsidRPr="00D05CF4">
        <w:rPr>
          <w:rtl/>
        </w:rPr>
        <w:t xml:space="preserve"> </w:t>
      </w:r>
      <w:r w:rsidR="004C237C" w:rsidRPr="00D05CF4">
        <w:rPr>
          <w:rFonts w:hint="cs"/>
          <w:rtl/>
        </w:rPr>
        <w:t>בשאלות</w:t>
      </w:r>
      <w:r w:rsidR="004C237C" w:rsidRPr="00D05CF4">
        <w:rPr>
          <w:rtl/>
        </w:rPr>
        <w:t xml:space="preserve"> </w:t>
      </w:r>
      <w:r w:rsidR="004C237C" w:rsidRPr="00D05CF4">
        <w:rPr>
          <w:rFonts w:hint="cs"/>
          <w:rtl/>
        </w:rPr>
        <w:t>רגישות כגון דא</w:t>
      </w:r>
      <w:r w:rsidR="004C237C" w:rsidRPr="00D05CF4">
        <w:rPr>
          <w:rtl/>
        </w:rPr>
        <w:t xml:space="preserve">. </w:t>
      </w:r>
    </w:p>
    <w:p w:rsidR="004C237C" w:rsidRPr="00D0096D" w:rsidRDefault="004C237C" w:rsidP="00175E5C">
      <w:pPr>
        <w:spacing w:line="360" w:lineRule="auto"/>
        <w:ind w:firstLine="720"/>
        <w:jc w:val="both"/>
        <w:rPr>
          <w:strike/>
          <w:rtl/>
        </w:rPr>
      </w:pPr>
      <w:r w:rsidRPr="00D05CF4">
        <w:rPr>
          <w:rFonts w:hint="cs"/>
          <w:rtl/>
        </w:rPr>
        <w:t xml:space="preserve">לפיכך, ביקש </w:t>
      </w:r>
      <w:r w:rsidR="00D0096D">
        <w:rPr>
          <w:rFonts w:hint="cs"/>
          <w:rtl/>
        </w:rPr>
        <w:t>השופט</w:t>
      </w:r>
      <w:r>
        <w:rPr>
          <w:rFonts w:hint="cs"/>
          <w:rtl/>
        </w:rPr>
        <w:t xml:space="preserve"> </w:t>
      </w:r>
      <w:r w:rsidRPr="00D05CF4">
        <w:rPr>
          <w:rFonts w:hint="cs"/>
          <w:rtl/>
        </w:rPr>
        <w:t>מב"כ הצדדים להתקרב לדוכן השיפוט, ושאל אותם אם יסכימו למפגש בלשכתו</w:t>
      </w:r>
      <w:r>
        <w:rPr>
          <w:rFonts w:hint="cs"/>
          <w:rtl/>
        </w:rPr>
        <w:t>,</w:t>
      </w:r>
      <w:r w:rsidRPr="00D05CF4">
        <w:rPr>
          <w:rFonts w:hint="cs"/>
          <w:rtl/>
        </w:rPr>
        <w:t xml:space="preserve"> אף ללא צורך בנאשמים, וזאת ל</w:t>
      </w:r>
      <w:r>
        <w:rPr>
          <w:rFonts w:hint="cs"/>
          <w:rtl/>
        </w:rPr>
        <w:t>שם</w:t>
      </w:r>
      <w:r w:rsidRPr="00D05CF4">
        <w:rPr>
          <w:rFonts w:hint="cs"/>
          <w:rtl/>
        </w:rPr>
        <w:t xml:space="preserve"> בירור האפשרויות העומדות בפניו באשר לדרך ניהול</w:t>
      </w:r>
      <w:r>
        <w:rPr>
          <w:rFonts w:hint="cs"/>
          <w:rtl/>
        </w:rPr>
        <w:t xml:space="preserve">ו של </w:t>
      </w:r>
      <w:r w:rsidRPr="00D05CF4">
        <w:rPr>
          <w:rFonts w:hint="cs"/>
          <w:rtl/>
        </w:rPr>
        <w:t>התיק. כמקובל במקרים דומים, שיחה זו</w:t>
      </w:r>
      <w:r>
        <w:rPr>
          <w:rFonts w:hint="cs"/>
          <w:rtl/>
        </w:rPr>
        <w:t>,</w:t>
      </w:r>
      <w:r w:rsidRPr="00D05CF4">
        <w:rPr>
          <w:rFonts w:hint="cs"/>
          <w:rtl/>
        </w:rPr>
        <w:t xml:space="preserve"> שתכליתה דיונית בלבד, מתנהלת "מחוץ לפרוטוקול"</w:t>
      </w:r>
      <w:r>
        <w:rPr>
          <w:rFonts w:hint="cs"/>
          <w:rtl/>
        </w:rPr>
        <w:t>, ודבר קיומה תועד</w:t>
      </w:r>
      <w:r w:rsidRPr="00D05CF4">
        <w:rPr>
          <w:rFonts w:hint="cs"/>
          <w:rtl/>
        </w:rPr>
        <w:t xml:space="preserve"> בפרוטוקו</w:t>
      </w:r>
      <w:r w:rsidR="00175E5C">
        <w:rPr>
          <w:rFonts w:hint="cs"/>
          <w:rtl/>
        </w:rPr>
        <w:t>ל.</w:t>
      </w:r>
    </w:p>
    <w:p w:rsidR="004C237C" w:rsidRDefault="004C237C" w:rsidP="004C237C">
      <w:pPr>
        <w:jc w:val="both"/>
        <w:rPr>
          <w:rFonts w:cs="David"/>
          <w:rtl/>
        </w:rPr>
      </w:pPr>
    </w:p>
    <w:p w:rsidR="004C237C" w:rsidRPr="00B473E1" w:rsidRDefault="00175E5C" w:rsidP="00175E5C">
      <w:pPr>
        <w:spacing w:line="360" w:lineRule="auto"/>
        <w:jc w:val="both"/>
        <w:rPr>
          <w:rtl/>
        </w:rPr>
      </w:pPr>
      <w:r>
        <w:rPr>
          <w:rFonts w:hint="cs"/>
          <w:rtl/>
        </w:rPr>
        <w:t>5</w:t>
      </w:r>
      <w:r w:rsidR="004C237C" w:rsidRPr="00B473E1">
        <w:rPr>
          <w:rFonts w:hint="cs"/>
          <w:rtl/>
        </w:rPr>
        <w:t>.</w:t>
      </w:r>
      <w:r w:rsidR="004C237C" w:rsidRPr="00B473E1">
        <w:rPr>
          <w:rFonts w:hint="cs"/>
          <w:rtl/>
        </w:rPr>
        <w:tab/>
        <w:t xml:space="preserve">בפועל, </w:t>
      </w:r>
      <w:r w:rsidR="004C237C">
        <w:rPr>
          <w:rFonts w:hint="cs"/>
          <w:rtl/>
        </w:rPr>
        <w:t xml:space="preserve">כך כותב </w:t>
      </w:r>
      <w:r w:rsidR="00D0096D">
        <w:rPr>
          <w:rFonts w:hint="cs"/>
          <w:rtl/>
        </w:rPr>
        <w:t>השופט</w:t>
      </w:r>
      <w:r w:rsidR="004C237C">
        <w:rPr>
          <w:rFonts w:hint="cs"/>
          <w:rtl/>
        </w:rPr>
        <w:t xml:space="preserve">, </w:t>
      </w:r>
      <w:r w:rsidR="004C237C" w:rsidRPr="00B473E1">
        <w:rPr>
          <w:rFonts w:hint="cs"/>
          <w:rtl/>
        </w:rPr>
        <w:t xml:space="preserve">הדיון </w:t>
      </w:r>
      <w:r w:rsidR="00D0096D">
        <w:rPr>
          <w:rFonts w:hint="cs"/>
          <w:rtl/>
        </w:rPr>
        <w:t xml:space="preserve">השני </w:t>
      </w:r>
      <w:r w:rsidR="004C237C">
        <w:rPr>
          <w:rFonts w:hint="cs"/>
          <w:rtl/>
        </w:rPr>
        <w:t xml:space="preserve">התקיים באולם ולא </w:t>
      </w:r>
      <w:r w:rsidR="004C237C" w:rsidRPr="00B473E1">
        <w:rPr>
          <w:rFonts w:hint="cs"/>
          <w:rtl/>
        </w:rPr>
        <w:t>בלשכת</w:t>
      </w:r>
      <w:r w:rsidR="004C237C">
        <w:rPr>
          <w:rFonts w:hint="cs"/>
          <w:rtl/>
        </w:rPr>
        <w:t>ו, כנטען בתלונה.</w:t>
      </w:r>
      <w:r w:rsidR="004C237C" w:rsidRPr="00B473E1">
        <w:rPr>
          <w:rFonts w:hint="cs"/>
          <w:rtl/>
        </w:rPr>
        <w:t xml:space="preserve"> בפתח</w:t>
      </w:r>
      <w:r w:rsidR="004C237C">
        <w:rPr>
          <w:rFonts w:hint="cs"/>
          <w:rtl/>
        </w:rPr>
        <w:t xml:space="preserve"> הדיון</w:t>
      </w:r>
      <w:r w:rsidR="004C237C" w:rsidRPr="00B473E1">
        <w:rPr>
          <w:rFonts w:hint="cs"/>
          <w:rtl/>
        </w:rPr>
        <w:t xml:space="preserve"> </w:t>
      </w:r>
      <w:r w:rsidR="004C237C">
        <w:rPr>
          <w:rFonts w:hint="cs"/>
          <w:rtl/>
        </w:rPr>
        <w:t>ו</w:t>
      </w:r>
      <w:r w:rsidR="004C237C" w:rsidRPr="00B473E1">
        <w:rPr>
          <w:rFonts w:hint="cs"/>
          <w:rtl/>
        </w:rPr>
        <w:t>בהסכמת שני הצדדים</w:t>
      </w:r>
      <w:r w:rsidR="004C237C">
        <w:rPr>
          <w:rFonts w:hint="cs"/>
          <w:rtl/>
        </w:rPr>
        <w:t>,</w:t>
      </w:r>
      <w:r w:rsidR="004C237C" w:rsidRPr="00B473E1">
        <w:rPr>
          <w:rFonts w:hint="cs"/>
          <w:rtl/>
        </w:rPr>
        <w:t xml:space="preserve"> ועל מנת ש</w:t>
      </w:r>
      <w:r w:rsidR="004C237C">
        <w:rPr>
          <w:rFonts w:hint="cs"/>
          <w:rtl/>
        </w:rPr>
        <w:t xml:space="preserve">הם </w:t>
      </w:r>
      <w:r w:rsidR="004C237C" w:rsidRPr="00B473E1">
        <w:rPr>
          <w:rFonts w:hint="cs"/>
          <w:rtl/>
        </w:rPr>
        <w:t>יוכלו להתבטא בחופשיות, לא נ</w:t>
      </w:r>
      <w:r w:rsidR="004C237C">
        <w:rPr>
          <w:rFonts w:hint="cs"/>
          <w:rtl/>
        </w:rPr>
        <w:t>והל</w:t>
      </w:r>
      <w:r w:rsidR="004C237C" w:rsidRPr="00B473E1">
        <w:rPr>
          <w:rFonts w:hint="cs"/>
          <w:rtl/>
        </w:rPr>
        <w:t xml:space="preserve"> פרוטוקול.</w:t>
      </w:r>
      <w:r w:rsidR="004C237C">
        <w:rPr>
          <w:rFonts w:hint="cs"/>
          <w:rtl/>
        </w:rPr>
        <w:t xml:space="preserve"> לדבריו, זו אינה </w:t>
      </w:r>
      <w:r w:rsidR="004C237C" w:rsidRPr="00B473E1">
        <w:rPr>
          <w:rFonts w:hint="cs"/>
          <w:rtl/>
        </w:rPr>
        <w:t>התנהלות חריגה, וכאמור לעיל</w:t>
      </w:r>
      <w:r w:rsidR="004C237C">
        <w:rPr>
          <w:rFonts w:hint="cs"/>
          <w:rtl/>
        </w:rPr>
        <w:t>,</w:t>
      </w:r>
      <w:r w:rsidR="004C237C" w:rsidRPr="00B473E1">
        <w:rPr>
          <w:rFonts w:hint="cs"/>
          <w:rtl/>
        </w:rPr>
        <w:t xml:space="preserve"> היא מקובלת במקרים דומים,</w:t>
      </w:r>
      <w:r w:rsidR="004C237C">
        <w:rPr>
          <w:rFonts w:hint="cs"/>
          <w:rtl/>
        </w:rPr>
        <w:t xml:space="preserve"> </w:t>
      </w:r>
      <w:r w:rsidR="004C237C" w:rsidRPr="00B473E1">
        <w:rPr>
          <w:rFonts w:hint="cs"/>
          <w:rtl/>
        </w:rPr>
        <w:t xml:space="preserve">על אחת כמה וכמה כאשר הצדדים </w:t>
      </w:r>
      <w:r w:rsidR="004C237C">
        <w:rPr>
          <w:rFonts w:hint="cs"/>
          <w:rtl/>
        </w:rPr>
        <w:t>הסכימו</w:t>
      </w:r>
      <w:r w:rsidR="004C237C" w:rsidRPr="00B473E1">
        <w:rPr>
          <w:rFonts w:hint="cs"/>
          <w:rtl/>
        </w:rPr>
        <w:t xml:space="preserve"> לכך. </w:t>
      </w:r>
      <w:r w:rsidR="00D0096D">
        <w:rPr>
          <w:rFonts w:hint="cs"/>
          <w:rtl/>
        </w:rPr>
        <w:t>השופט</w:t>
      </w:r>
      <w:r w:rsidR="004C237C" w:rsidRPr="00B473E1">
        <w:rPr>
          <w:rFonts w:hint="cs"/>
          <w:rtl/>
        </w:rPr>
        <w:t xml:space="preserve"> הבהיר לצדדים</w:t>
      </w:r>
      <w:r w:rsidR="004C237C">
        <w:rPr>
          <w:rFonts w:hint="cs"/>
          <w:rtl/>
        </w:rPr>
        <w:t>,</w:t>
      </w:r>
      <w:r w:rsidR="004C237C" w:rsidRPr="00B473E1">
        <w:rPr>
          <w:rFonts w:hint="cs"/>
          <w:rtl/>
        </w:rPr>
        <w:t xml:space="preserve"> כי </w:t>
      </w:r>
      <w:r w:rsidR="004C237C">
        <w:rPr>
          <w:rFonts w:hint="cs"/>
          <w:rtl/>
        </w:rPr>
        <w:t xml:space="preserve">הוא </w:t>
      </w:r>
      <w:r w:rsidR="004C237C" w:rsidRPr="00B473E1">
        <w:rPr>
          <w:rFonts w:hint="cs"/>
          <w:rtl/>
        </w:rPr>
        <w:t>אינו פועל כמגשר, וביקש לדעת את עמדתם לגבי אופן ניהול התיק, לרבות ובדגש על שאלת העברת התיק לגישור בפני מותב אחר. בתום ישיבה לא ארוכה, ניתנה החלטה</w:t>
      </w:r>
      <w:r w:rsidR="004C237C">
        <w:rPr>
          <w:rFonts w:hint="cs"/>
          <w:rtl/>
        </w:rPr>
        <w:t>,</w:t>
      </w:r>
      <w:r w:rsidR="004C237C" w:rsidRPr="00B473E1">
        <w:rPr>
          <w:rFonts w:hint="cs"/>
          <w:rtl/>
        </w:rPr>
        <w:t xml:space="preserve"> אף היא בהסכמת הצדדים, ולפיה </w:t>
      </w:r>
      <w:r w:rsidR="00D0096D">
        <w:rPr>
          <w:rFonts w:hint="cs"/>
          <w:rtl/>
        </w:rPr>
        <w:t xml:space="preserve">עליהם להודיע, </w:t>
      </w:r>
      <w:r w:rsidR="004C237C" w:rsidRPr="00B473E1">
        <w:rPr>
          <w:rFonts w:hint="cs"/>
          <w:rtl/>
        </w:rPr>
        <w:t xml:space="preserve">אם ניתן להעביר את התיק לגישור בפני </w:t>
      </w:r>
      <w:r>
        <w:rPr>
          <w:rFonts w:hint="cs"/>
          <w:rtl/>
        </w:rPr>
        <w:t>מותב אחר.</w:t>
      </w:r>
    </w:p>
    <w:p w:rsidR="004C237C" w:rsidRPr="00C40749" w:rsidRDefault="004C237C" w:rsidP="004C237C">
      <w:pPr>
        <w:jc w:val="both"/>
        <w:rPr>
          <w:rFonts w:cs="David"/>
          <w:rtl/>
        </w:rPr>
      </w:pPr>
    </w:p>
    <w:p w:rsidR="004C237C" w:rsidRPr="00B473E1" w:rsidRDefault="004C237C" w:rsidP="00175E5C">
      <w:pPr>
        <w:spacing w:line="360" w:lineRule="auto"/>
        <w:jc w:val="both"/>
        <w:rPr>
          <w:rtl/>
        </w:rPr>
      </w:pPr>
      <w:r w:rsidRPr="00B473E1">
        <w:rPr>
          <w:rFonts w:hint="cs"/>
          <w:rtl/>
        </w:rPr>
        <w:tab/>
      </w:r>
      <w:r w:rsidR="00D0096D">
        <w:rPr>
          <w:rFonts w:hint="cs"/>
          <w:rtl/>
        </w:rPr>
        <w:t>השופט</w:t>
      </w:r>
      <w:r w:rsidRPr="00B473E1">
        <w:rPr>
          <w:rFonts w:hint="cs"/>
          <w:rtl/>
        </w:rPr>
        <w:t xml:space="preserve"> מפנה בתגובתו לסעיף 68א(א) לחוק בתי המשפט, אשר </w:t>
      </w:r>
      <w:r>
        <w:rPr>
          <w:rFonts w:hint="cs"/>
          <w:rtl/>
        </w:rPr>
        <w:t>לפיו</w:t>
      </w:r>
      <w:r w:rsidRPr="00B473E1">
        <w:rPr>
          <w:rFonts w:hint="cs"/>
          <w:rtl/>
        </w:rPr>
        <w:t xml:space="preserve"> בדיון מקדמי, ש</w:t>
      </w:r>
      <w:r w:rsidR="00175E5C">
        <w:rPr>
          <w:rFonts w:hint="cs"/>
          <w:rtl/>
        </w:rPr>
        <w:t>הוא</w:t>
      </w:r>
      <w:r>
        <w:rPr>
          <w:rFonts w:hint="cs"/>
          <w:rtl/>
        </w:rPr>
        <w:t>,</w:t>
      </w:r>
      <w:r w:rsidRPr="00B473E1">
        <w:rPr>
          <w:rFonts w:hint="cs"/>
          <w:rtl/>
        </w:rPr>
        <w:t xml:space="preserve"> בין היתר</w:t>
      </w:r>
      <w:r>
        <w:rPr>
          <w:rFonts w:hint="cs"/>
          <w:rtl/>
        </w:rPr>
        <w:t>,</w:t>
      </w:r>
      <w:r w:rsidRPr="00B473E1">
        <w:rPr>
          <w:rFonts w:hint="cs"/>
          <w:rtl/>
        </w:rPr>
        <w:t xml:space="preserve"> דיון אשר </w:t>
      </w:r>
      <w:r>
        <w:rPr>
          <w:rFonts w:hint="cs"/>
          <w:rtl/>
        </w:rPr>
        <w:t>"</w:t>
      </w:r>
      <w:r w:rsidRPr="00B473E1">
        <w:rPr>
          <w:rFonts w:hint="cs"/>
          <w:rtl/>
        </w:rPr>
        <w:t>נועד לבחון את האפשרויות לסיים את ההליך בהסדר מוסכם בין בעלי הדין</w:t>
      </w:r>
      <w:r>
        <w:rPr>
          <w:rFonts w:hint="cs"/>
          <w:rtl/>
        </w:rPr>
        <w:t>"</w:t>
      </w:r>
      <w:r w:rsidRPr="00B473E1">
        <w:rPr>
          <w:rFonts w:hint="cs"/>
          <w:rtl/>
        </w:rPr>
        <w:t xml:space="preserve">, יוכל בית </w:t>
      </w:r>
      <w:r>
        <w:rPr>
          <w:rFonts w:hint="cs"/>
          <w:rtl/>
        </w:rPr>
        <w:t>ה</w:t>
      </w:r>
      <w:r w:rsidRPr="00B473E1">
        <w:rPr>
          <w:rFonts w:hint="cs"/>
          <w:rtl/>
        </w:rPr>
        <w:t>משפט, בהסכמת בעלי הדין, לכלול בפרוטוקול את עיקרי הדברים ולקבוע את דרך רישום הפרוטוקול. זאת, במובחן מדיון שנועד</w:t>
      </w:r>
      <w:r w:rsidRPr="00B473E1">
        <w:rPr>
          <w:rtl/>
        </w:rPr>
        <w:t xml:space="preserve"> </w:t>
      </w:r>
      <w:r w:rsidRPr="00B473E1">
        <w:rPr>
          <w:rFonts w:hint="cs"/>
          <w:rtl/>
        </w:rPr>
        <w:t>לשמיעת</w:t>
      </w:r>
      <w:r w:rsidRPr="00B473E1">
        <w:rPr>
          <w:rtl/>
        </w:rPr>
        <w:t xml:space="preserve"> </w:t>
      </w:r>
      <w:r w:rsidRPr="00B473E1">
        <w:rPr>
          <w:rFonts w:hint="cs"/>
          <w:rtl/>
        </w:rPr>
        <w:t>ראיות</w:t>
      </w:r>
      <w:r w:rsidRPr="00B473E1">
        <w:rPr>
          <w:rtl/>
        </w:rPr>
        <w:t xml:space="preserve"> </w:t>
      </w:r>
      <w:r w:rsidRPr="00B473E1">
        <w:rPr>
          <w:rFonts w:hint="cs"/>
          <w:rtl/>
        </w:rPr>
        <w:t>בעל</w:t>
      </w:r>
      <w:r w:rsidRPr="00B473E1">
        <w:rPr>
          <w:rtl/>
        </w:rPr>
        <w:t xml:space="preserve"> </w:t>
      </w:r>
      <w:r w:rsidRPr="00B473E1">
        <w:rPr>
          <w:rFonts w:hint="cs"/>
          <w:rtl/>
        </w:rPr>
        <w:t>פה</w:t>
      </w:r>
      <w:r w:rsidRPr="00B473E1">
        <w:rPr>
          <w:rtl/>
        </w:rPr>
        <w:t xml:space="preserve"> </w:t>
      </w:r>
      <w:r w:rsidRPr="00B473E1">
        <w:rPr>
          <w:rFonts w:hint="cs"/>
          <w:rtl/>
        </w:rPr>
        <w:t>או</w:t>
      </w:r>
      <w:r w:rsidRPr="00B473E1">
        <w:rPr>
          <w:rtl/>
        </w:rPr>
        <w:t xml:space="preserve"> </w:t>
      </w:r>
      <w:r w:rsidR="00175E5C">
        <w:rPr>
          <w:rFonts w:hint="cs"/>
          <w:rtl/>
        </w:rPr>
        <w:t>ל</w:t>
      </w:r>
      <w:r w:rsidRPr="00B473E1">
        <w:rPr>
          <w:rFonts w:hint="cs"/>
          <w:rtl/>
        </w:rPr>
        <w:t>שמיעת</w:t>
      </w:r>
      <w:r w:rsidRPr="00B473E1">
        <w:rPr>
          <w:rtl/>
        </w:rPr>
        <w:t xml:space="preserve"> </w:t>
      </w:r>
      <w:r w:rsidRPr="00B473E1">
        <w:rPr>
          <w:rFonts w:hint="cs"/>
          <w:rtl/>
        </w:rPr>
        <w:t>טענות</w:t>
      </w:r>
      <w:r w:rsidRPr="00B473E1">
        <w:rPr>
          <w:rtl/>
        </w:rPr>
        <w:t xml:space="preserve"> </w:t>
      </w:r>
      <w:r w:rsidRPr="00B473E1">
        <w:rPr>
          <w:rFonts w:hint="cs"/>
          <w:rtl/>
        </w:rPr>
        <w:t>בעלי</w:t>
      </w:r>
      <w:r w:rsidRPr="00B473E1">
        <w:rPr>
          <w:rtl/>
        </w:rPr>
        <w:t xml:space="preserve"> </w:t>
      </w:r>
      <w:r w:rsidRPr="00B473E1">
        <w:rPr>
          <w:rFonts w:hint="cs"/>
          <w:rtl/>
        </w:rPr>
        <w:t xml:space="preserve">הדין, אשר בו </w:t>
      </w:r>
      <w:proofErr w:type="spellStart"/>
      <w:r w:rsidRPr="00B473E1">
        <w:rPr>
          <w:rFonts w:hint="cs"/>
          <w:rtl/>
        </w:rPr>
        <w:t>מחו</w:t>
      </w:r>
      <w:r>
        <w:rPr>
          <w:rFonts w:hint="cs"/>
          <w:rtl/>
        </w:rPr>
        <w:t>י</w:t>
      </w:r>
      <w:r w:rsidRPr="00B473E1">
        <w:rPr>
          <w:rFonts w:hint="cs"/>
          <w:rtl/>
        </w:rPr>
        <w:t>יב</w:t>
      </w:r>
      <w:proofErr w:type="spellEnd"/>
      <w:r w:rsidRPr="00B473E1">
        <w:rPr>
          <w:rFonts w:hint="cs"/>
          <w:rtl/>
        </w:rPr>
        <w:t xml:space="preserve"> בית המשפט לנהל פרוטוקול</w:t>
      </w:r>
      <w:r>
        <w:rPr>
          <w:rFonts w:hint="cs"/>
          <w:rtl/>
        </w:rPr>
        <w:t>,</w:t>
      </w:r>
      <w:r w:rsidRPr="00B473E1">
        <w:rPr>
          <w:rtl/>
        </w:rPr>
        <w:t xml:space="preserve"> </w:t>
      </w:r>
      <w:r>
        <w:rPr>
          <w:rFonts w:hint="cs"/>
          <w:rtl/>
        </w:rPr>
        <w:t>ש</w:t>
      </w:r>
      <w:r w:rsidRPr="00B473E1">
        <w:rPr>
          <w:rFonts w:hint="cs"/>
          <w:rtl/>
        </w:rPr>
        <w:t>"ישקף</w:t>
      </w:r>
      <w:r w:rsidRPr="00B473E1">
        <w:rPr>
          <w:rtl/>
        </w:rPr>
        <w:t xml:space="preserve"> </w:t>
      </w:r>
      <w:r w:rsidRPr="00B473E1">
        <w:rPr>
          <w:rFonts w:hint="cs"/>
          <w:rtl/>
        </w:rPr>
        <w:t>את</w:t>
      </w:r>
      <w:r w:rsidRPr="00B473E1">
        <w:rPr>
          <w:rtl/>
        </w:rPr>
        <w:t xml:space="preserve"> </w:t>
      </w:r>
      <w:r w:rsidRPr="00B473E1">
        <w:rPr>
          <w:rFonts w:hint="cs"/>
          <w:rtl/>
        </w:rPr>
        <w:t>כל</w:t>
      </w:r>
      <w:r w:rsidRPr="00B473E1">
        <w:rPr>
          <w:rtl/>
        </w:rPr>
        <w:t xml:space="preserve"> </w:t>
      </w:r>
      <w:r w:rsidRPr="00B473E1">
        <w:rPr>
          <w:rFonts w:hint="cs"/>
          <w:rtl/>
        </w:rPr>
        <w:t>הנאמר</w:t>
      </w:r>
      <w:r w:rsidRPr="00B473E1">
        <w:rPr>
          <w:rtl/>
        </w:rPr>
        <w:t xml:space="preserve"> </w:t>
      </w:r>
      <w:r w:rsidRPr="00B473E1">
        <w:rPr>
          <w:rFonts w:hint="cs"/>
          <w:rtl/>
        </w:rPr>
        <w:t>והמתרחש</w:t>
      </w:r>
      <w:r w:rsidRPr="00B473E1">
        <w:rPr>
          <w:rtl/>
        </w:rPr>
        <w:t xml:space="preserve"> </w:t>
      </w:r>
      <w:r w:rsidRPr="00B473E1">
        <w:rPr>
          <w:rFonts w:hint="cs"/>
          <w:rtl/>
        </w:rPr>
        <w:t>בדיון</w:t>
      </w:r>
      <w:r w:rsidRPr="00B473E1">
        <w:rPr>
          <w:rtl/>
        </w:rPr>
        <w:t xml:space="preserve"> </w:t>
      </w:r>
      <w:r w:rsidRPr="00B473E1">
        <w:rPr>
          <w:rFonts w:hint="cs"/>
          <w:rtl/>
        </w:rPr>
        <w:t>והנוגע</w:t>
      </w:r>
      <w:r w:rsidRPr="00B473E1">
        <w:rPr>
          <w:rtl/>
        </w:rPr>
        <w:t xml:space="preserve"> </w:t>
      </w:r>
      <w:r w:rsidRPr="00B473E1">
        <w:rPr>
          <w:rFonts w:hint="cs"/>
          <w:rtl/>
        </w:rPr>
        <w:t>למשפט</w:t>
      </w:r>
      <w:r w:rsidRPr="00B473E1">
        <w:rPr>
          <w:rtl/>
        </w:rPr>
        <w:t xml:space="preserve">, </w:t>
      </w:r>
      <w:r w:rsidRPr="00B473E1">
        <w:rPr>
          <w:rFonts w:hint="cs"/>
          <w:rtl/>
        </w:rPr>
        <w:t>לרבות</w:t>
      </w:r>
      <w:r w:rsidRPr="00B473E1">
        <w:rPr>
          <w:rtl/>
        </w:rPr>
        <w:t xml:space="preserve"> </w:t>
      </w:r>
      <w:r w:rsidRPr="00B473E1">
        <w:rPr>
          <w:rFonts w:hint="cs"/>
          <w:rtl/>
        </w:rPr>
        <w:t>שאלות</w:t>
      </w:r>
      <w:r w:rsidRPr="00B473E1">
        <w:rPr>
          <w:rtl/>
        </w:rPr>
        <w:t xml:space="preserve"> </w:t>
      </w:r>
      <w:r w:rsidRPr="00B473E1">
        <w:rPr>
          <w:rFonts w:hint="cs"/>
          <w:rtl/>
        </w:rPr>
        <w:t>והערות</w:t>
      </w:r>
      <w:r w:rsidRPr="00B473E1">
        <w:rPr>
          <w:rtl/>
        </w:rPr>
        <w:t xml:space="preserve"> </w:t>
      </w:r>
      <w:r w:rsidRPr="00B473E1">
        <w:rPr>
          <w:rFonts w:hint="cs"/>
          <w:rtl/>
        </w:rPr>
        <w:t>בית</w:t>
      </w:r>
      <w:r w:rsidRPr="00B473E1">
        <w:rPr>
          <w:rtl/>
        </w:rPr>
        <w:t xml:space="preserve"> </w:t>
      </w:r>
      <w:r>
        <w:rPr>
          <w:rFonts w:hint="cs"/>
          <w:rtl/>
        </w:rPr>
        <w:t>המשפט".</w:t>
      </w:r>
    </w:p>
    <w:p w:rsidR="004C237C" w:rsidRDefault="004C237C" w:rsidP="004C237C">
      <w:pPr>
        <w:spacing w:line="360" w:lineRule="auto"/>
        <w:jc w:val="both"/>
        <w:rPr>
          <w:rtl/>
        </w:rPr>
      </w:pPr>
    </w:p>
    <w:p w:rsidR="004C237C" w:rsidRPr="00B473E1" w:rsidRDefault="00175E5C" w:rsidP="00175E5C">
      <w:pPr>
        <w:spacing w:line="360" w:lineRule="auto"/>
        <w:jc w:val="both"/>
        <w:rPr>
          <w:rtl/>
        </w:rPr>
      </w:pPr>
      <w:r>
        <w:rPr>
          <w:rFonts w:hint="cs"/>
          <w:rtl/>
        </w:rPr>
        <w:t>6</w:t>
      </w:r>
      <w:r w:rsidR="004C237C">
        <w:rPr>
          <w:rFonts w:hint="cs"/>
          <w:rtl/>
        </w:rPr>
        <w:t>.</w:t>
      </w:r>
      <w:r w:rsidR="004C237C">
        <w:rPr>
          <w:rFonts w:hint="cs"/>
          <w:rtl/>
        </w:rPr>
        <w:tab/>
      </w:r>
      <w:r w:rsidR="004C237C" w:rsidRPr="00B473E1">
        <w:rPr>
          <w:rFonts w:hint="cs"/>
          <w:rtl/>
        </w:rPr>
        <w:t>לדעת</w:t>
      </w:r>
      <w:r w:rsidR="004C237C">
        <w:rPr>
          <w:rFonts w:hint="cs"/>
          <w:rtl/>
        </w:rPr>
        <w:t xml:space="preserve"> </w:t>
      </w:r>
      <w:r w:rsidR="00D0096D">
        <w:rPr>
          <w:rFonts w:hint="cs"/>
          <w:rtl/>
        </w:rPr>
        <w:t>השופט</w:t>
      </w:r>
      <w:r w:rsidR="004C237C" w:rsidRPr="00B473E1">
        <w:rPr>
          <w:rFonts w:hint="cs"/>
          <w:rtl/>
        </w:rPr>
        <w:t xml:space="preserve">, השאלה העומדת לדיון רחבה יותר מזו </w:t>
      </w:r>
      <w:r w:rsidR="004C237C">
        <w:rPr>
          <w:rFonts w:hint="cs"/>
          <w:rtl/>
        </w:rPr>
        <w:t>ש</w:t>
      </w:r>
      <w:r w:rsidR="004C237C" w:rsidRPr="00B473E1">
        <w:rPr>
          <w:rFonts w:hint="cs"/>
          <w:rtl/>
        </w:rPr>
        <w:t>עליה נסבה התלונה, והיא נוגעת לאופן ניהול</w:t>
      </w:r>
      <w:r w:rsidR="004C237C">
        <w:rPr>
          <w:rFonts w:hint="cs"/>
          <w:rtl/>
        </w:rPr>
        <w:t>ם</w:t>
      </w:r>
      <w:r w:rsidR="004C237C" w:rsidRPr="00B473E1">
        <w:rPr>
          <w:rFonts w:hint="cs"/>
          <w:rtl/>
        </w:rPr>
        <w:t xml:space="preserve"> </w:t>
      </w:r>
      <w:r w:rsidR="004C237C">
        <w:rPr>
          <w:rFonts w:hint="cs"/>
          <w:rtl/>
        </w:rPr>
        <w:t xml:space="preserve">של </w:t>
      </w:r>
      <w:r w:rsidR="004C237C" w:rsidRPr="00B473E1">
        <w:rPr>
          <w:rFonts w:hint="cs"/>
          <w:rtl/>
        </w:rPr>
        <w:t>דיונים מקדמיים בתיקים פליליים</w:t>
      </w:r>
      <w:r w:rsidR="004C237C">
        <w:rPr>
          <w:rFonts w:hint="cs"/>
          <w:rtl/>
        </w:rPr>
        <w:t>,</w:t>
      </w:r>
      <w:r w:rsidR="004C237C" w:rsidRPr="00B473E1">
        <w:rPr>
          <w:rFonts w:hint="cs"/>
          <w:rtl/>
        </w:rPr>
        <w:t xml:space="preserve"> ויכולתו של </w:t>
      </w:r>
      <w:r w:rsidR="004C237C">
        <w:rPr>
          <w:rFonts w:hint="cs"/>
          <w:rtl/>
        </w:rPr>
        <w:t>השופט</w:t>
      </w:r>
      <w:r w:rsidR="004C237C" w:rsidRPr="00B473E1">
        <w:rPr>
          <w:rFonts w:hint="cs"/>
          <w:rtl/>
        </w:rPr>
        <w:t xml:space="preserve"> להתבטא, ואף להקשיב לדברי צדדים, פעמים רבות מאוד לבקשתם שלהם, מחוץ לפרוטוקול</w:t>
      </w:r>
      <w:r w:rsidR="004C237C">
        <w:rPr>
          <w:rFonts w:hint="cs"/>
          <w:rtl/>
        </w:rPr>
        <w:t>,</w:t>
      </w:r>
      <w:r w:rsidR="004C237C" w:rsidRPr="00B473E1">
        <w:rPr>
          <w:rFonts w:hint="cs"/>
          <w:rtl/>
        </w:rPr>
        <w:t xml:space="preserve"> מסיבות שונות. אין להתעלם מכך, כך </w:t>
      </w:r>
      <w:r w:rsidR="004C237C">
        <w:rPr>
          <w:rFonts w:hint="cs"/>
          <w:rtl/>
        </w:rPr>
        <w:t xml:space="preserve">הדגיש </w:t>
      </w:r>
      <w:r w:rsidR="00D0096D">
        <w:rPr>
          <w:rFonts w:hint="cs"/>
          <w:rtl/>
        </w:rPr>
        <w:t>השופט</w:t>
      </w:r>
      <w:r w:rsidR="004C237C" w:rsidRPr="00B473E1">
        <w:rPr>
          <w:rFonts w:hint="cs"/>
          <w:rtl/>
        </w:rPr>
        <w:t xml:space="preserve">, </w:t>
      </w:r>
      <w:r w:rsidR="004C237C">
        <w:rPr>
          <w:rFonts w:hint="cs"/>
          <w:rtl/>
        </w:rPr>
        <w:t xml:space="preserve">כי </w:t>
      </w:r>
      <w:r w:rsidR="004C237C" w:rsidRPr="00B473E1">
        <w:rPr>
          <w:rFonts w:hint="cs"/>
          <w:rtl/>
        </w:rPr>
        <w:t>התנהלות באופן זה מביאה לא אחת להתייעלות הדיון תוך הקלה בעומס</w:t>
      </w:r>
      <w:r w:rsidR="004C237C" w:rsidRPr="00B473E1">
        <w:rPr>
          <w:rtl/>
        </w:rPr>
        <w:t xml:space="preserve"> </w:t>
      </w:r>
      <w:r w:rsidR="004C237C" w:rsidRPr="00B473E1">
        <w:rPr>
          <w:rFonts w:hint="cs"/>
          <w:rtl/>
        </w:rPr>
        <w:t>המוטל על בית</w:t>
      </w:r>
      <w:r w:rsidR="004C237C" w:rsidRPr="00B473E1">
        <w:rPr>
          <w:rtl/>
        </w:rPr>
        <w:t xml:space="preserve"> </w:t>
      </w:r>
      <w:r w:rsidR="004C237C" w:rsidRPr="00B473E1">
        <w:rPr>
          <w:rFonts w:hint="cs"/>
          <w:rtl/>
        </w:rPr>
        <w:t>המשפט,</w:t>
      </w:r>
      <w:r w:rsidR="004C237C" w:rsidRPr="00B473E1">
        <w:rPr>
          <w:rtl/>
        </w:rPr>
        <w:t xml:space="preserve"> </w:t>
      </w:r>
      <w:r w:rsidR="004C237C" w:rsidRPr="00B473E1">
        <w:rPr>
          <w:rFonts w:hint="cs"/>
          <w:rtl/>
        </w:rPr>
        <w:t xml:space="preserve">ויש בה לעיתים </w:t>
      </w:r>
      <w:r w:rsidR="004C237C">
        <w:rPr>
          <w:rFonts w:hint="cs"/>
          <w:rtl/>
        </w:rPr>
        <w:t xml:space="preserve">כדי </w:t>
      </w:r>
      <w:r w:rsidR="004C237C" w:rsidRPr="00B473E1">
        <w:rPr>
          <w:rFonts w:hint="cs"/>
          <w:rtl/>
        </w:rPr>
        <w:t>לקצר</w:t>
      </w:r>
      <w:r w:rsidR="004C237C" w:rsidRPr="00B473E1">
        <w:rPr>
          <w:rtl/>
        </w:rPr>
        <w:t xml:space="preserve"> </w:t>
      </w:r>
      <w:r w:rsidR="004C237C" w:rsidRPr="00B473E1">
        <w:rPr>
          <w:rFonts w:hint="cs"/>
          <w:rtl/>
        </w:rPr>
        <w:t>באופן</w:t>
      </w:r>
      <w:r w:rsidR="004C237C" w:rsidRPr="00B473E1">
        <w:rPr>
          <w:rtl/>
        </w:rPr>
        <w:t xml:space="preserve"> </w:t>
      </w:r>
      <w:r w:rsidR="004C237C" w:rsidRPr="00B473E1">
        <w:rPr>
          <w:rFonts w:hint="cs"/>
          <w:rtl/>
        </w:rPr>
        <w:t>משמעותי</w:t>
      </w:r>
      <w:r w:rsidR="004C237C" w:rsidRPr="00B473E1">
        <w:rPr>
          <w:rtl/>
        </w:rPr>
        <w:t xml:space="preserve"> </w:t>
      </w:r>
      <w:r w:rsidR="004C237C" w:rsidRPr="00B473E1">
        <w:rPr>
          <w:rFonts w:hint="cs"/>
          <w:rtl/>
        </w:rPr>
        <w:t>את</w:t>
      </w:r>
      <w:r w:rsidR="004C237C" w:rsidRPr="00B473E1">
        <w:rPr>
          <w:rtl/>
        </w:rPr>
        <w:t xml:space="preserve"> </w:t>
      </w:r>
      <w:r w:rsidR="004C237C" w:rsidRPr="00B473E1">
        <w:rPr>
          <w:rFonts w:hint="cs"/>
          <w:rtl/>
        </w:rPr>
        <w:t>ההליך</w:t>
      </w:r>
      <w:r w:rsidR="004C237C" w:rsidRPr="00B473E1">
        <w:rPr>
          <w:rtl/>
        </w:rPr>
        <w:t xml:space="preserve"> </w:t>
      </w:r>
      <w:r w:rsidR="004C237C" w:rsidRPr="00B473E1">
        <w:rPr>
          <w:rFonts w:hint="cs"/>
          <w:rtl/>
        </w:rPr>
        <w:t>המשפטי</w:t>
      </w:r>
      <w:r w:rsidR="004C237C" w:rsidRPr="00B473E1">
        <w:rPr>
          <w:rtl/>
        </w:rPr>
        <w:t>.</w:t>
      </w:r>
      <w:r w:rsidR="004C237C" w:rsidRPr="00B473E1">
        <w:rPr>
          <w:rFonts w:hint="cs"/>
          <w:rtl/>
        </w:rPr>
        <w:t xml:space="preserve"> בהסכמת הצדדים ניתן לייתר זימון</w:t>
      </w:r>
      <w:r w:rsidR="004C237C" w:rsidRPr="00B473E1">
        <w:rPr>
          <w:rtl/>
        </w:rPr>
        <w:t xml:space="preserve"> </w:t>
      </w:r>
      <w:r w:rsidR="004C237C">
        <w:rPr>
          <w:rFonts w:hint="cs"/>
          <w:rtl/>
        </w:rPr>
        <w:t xml:space="preserve">של </w:t>
      </w:r>
      <w:r w:rsidR="004C237C" w:rsidRPr="00B473E1">
        <w:rPr>
          <w:rFonts w:hint="cs"/>
          <w:rtl/>
        </w:rPr>
        <w:t>עדים</w:t>
      </w:r>
      <w:r w:rsidR="004C237C" w:rsidRPr="00B473E1">
        <w:rPr>
          <w:rtl/>
        </w:rPr>
        <w:t xml:space="preserve"> </w:t>
      </w:r>
      <w:r w:rsidR="004C237C" w:rsidRPr="00B473E1">
        <w:rPr>
          <w:rFonts w:hint="cs"/>
          <w:rtl/>
        </w:rPr>
        <w:t>או</w:t>
      </w:r>
      <w:r w:rsidR="004C237C" w:rsidRPr="00B473E1">
        <w:rPr>
          <w:rtl/>
        </w:rPr>
        <w:t xml:space="preserve"> </w:t>
      </w:r>
      <w:r w:rsidR="004C237C" w:rsidRPr="00B473E1">
        <w:rPr>
          <w:rFonts w:hint="cs"/>
          <w:rtl/>
        </w:rPr>
        <w:t>הצגת</w:t>
      </w:r>
      <w:r w:rsidR="004C237C" w:rsidRPr="00B473E1">
        <w:rPr>
          <w:rtl/>
        </w:rPr>
        <w:t xml:space="preserve"> </w:t>
      </w:r>
      <w:r w:rsidR="004C237C" w:rsidRPr="00B473E1">
        <w:rPr>
          <w:rFonts w:hint="cs"/>
          <w:rtl/>
        </w:rPr>
        <w:t>ראיות</w:t>
      </w:r>
      <w:r w:rsidR="004C237C" w:rsidRPr="00B473E1">
        <w:rPr>
          <w:rtl/>
        </w:rPr>
        <w:t xml:space="preserve"> </w:t>
      </w:r>
      <w:r w:rsidR="004C237C" w:rsidRPr="00B473E1">
        <w:rPr>
          <w:rFonts w:hint="cs"/>
          <w:rtl/>
        </w:rPr>
        <w:t xml:space="preserve">מסוימות, ולהביא  את הצדדים להסכמות דיוניות בעניינים שונים. </w:t>
      </w:r>
    </w:p>
    <w:p w:rsidR="004C237C" w:rsidRPr="00B473E1" w:rsidRDefault="004C237C" w:rsidP="004C237C">
      <w:pPr>
        <w:jc w:val="both"/>
        <w:rPr>
          <w:rtl/>
        </w:rPr>
      </w:pPr>
    </w:p>
    <w:p w:rsidR="004C237C" w:rsidRPr="00B473E1" w:rsidRDefault="004C237C" w:rsidP="004C237C">
      <w:pPr>
        <w:spacing w:line="360" w:lineRule="auto"/>
        <w:ind w:firstLine="720"/>
        <w:jc w:val="both"/>
        <w:rPr>
          <w:rtl/>
        </w:rPr>
      </w:pPr>
      <w:r w:rsidRPr="00B473E1">
        <w:rPr>
          <w:rFonts w:hint="cs"/>
          <w:rtl/>
        </w:rPr>
        <w:t>חלקים מדיון שאינם נרשמים בפרוטוקול</w:t>
      </w:r>
      <w:r>
        <w:rPr>
          <w:rFonts w:hint="cs"/>
          <w:rtl/>
        </w:rPr>
        <w:t>,</w:t>
      </w:r>
      <w:r w:rsidRPr="00B473E1">
        <w:rPr>
          <w:rFonts w:hint="cs"/>
          <w:rtl/>
        </w:rPr>
        <w:t xml:space="preserve"> בהסכמת כל הצדדים והיושב בדין, אינם פוגעים, לדעת</w:t>
      </w:r>
      <w:r>
        <w:rPr>
          <w:rFonts w:hint="cs"/>
          <w:rtl/>
        </w:rPr>
        <w:t xml:space="preserve"> </w:t>
      </w:r>
      <w:r w:rsidR="00D0096D">
        <w:rPr>
          <w:rFonts w:hint="cs"/>
          <w:rtl/>
        </w:rPr>
        <w:t>השופט</w:t>
      </w:r>
      <w:r w:rsidRPr="00B473E1">
        <w:rPr>
          <w:rFonts w:hint="cs"/>
          <w:rtl/>
        </w:rPr>
        <w:t>, בהליך השיפוטי, בנראות, בשקיפות ובטוהר ההליך, ו</w:t>
      </w:r>
      <w:r>
        <w:rPr>
          <w:rFonts w:hint="cs"/>
          <w:rtl/>
        </w:rPr>
        <w:t xml:space="preserve">הדבר </w:t>
      </w:r>
      <w:r w:rsidRPr="00B473E1">
        <w:rPr>
          <w:rFonts w:hint="cs"/>
          <w:rtl/>
        </w:rPr>
        <w:t>מאפשר לבית המשפט ולצדדים להתקדם בתיק, במיוחד כאשר מדובר בערכאה השומעת ראיות. הצדדים עצמם מעוניינים</w:t>
      </w:r>
      <w:r>
        <w:rPr>
          <w:rFonts w:hint="cs"/>
          <w:rtl/>
        </w:rPr>
        <w:t>,</w:t>
      </w:r>
      <w:r w:rsidRPr="00B473E1">
        <w:rPr>
          <w:rFonts w:hint="cs"/>
          <w:rtl/>
        </w:rPr>
        <w:t xml:space="preserve"> לא אחת</w:t>
      </w:r>
      <w:r>
        <w:rPr>
          <w:rFonts w:hint="cs"/>
          <w:rtl/>
        </w:rPr>
        <w:t>,</w:t>
      </w:r>
      <w:r w:rsidRPr="00B473E1">
        <w:rPr>
          <w:rFonts w:hint="cs"/>
          <w:rtl/>
        </w:rPr>
        <w:t xml:space="preserve"> לומר לאוזני הצד השני לדיון ולאוזני היושב בדין דברים אשר הם עצמם אינם מעוניינים, מטעמיהם שלהם, </w:t>
      </w:r>
      <w:r>
        <w:rPr>
          <w:rFonts w:hint="cs"/>
          <w:rtl/>
        </w:rPr>
        <w:t xml:space="preserve">כי </w:t>
      </w:r>
      <w:r w:rsidRPr="00B473E1">
        <w:rPr>
          <w:rFonts w:hint="cs"/>
          <w:rtl/>
        </w:rPr>
        <w:t xml:space="preserve">יופיעו בפרוטוקול, והדברים נכונים ביתר שאת בתיק נשוא התלונה. </w:t>
      </w:r>
      <w:r>
        <w:rPr>
          <w:rFonts w:hint="cs"/>
          <w:rtl/>
        </w:rPr>
        <w:t xml:space="preserve">עוד מוסיף </w:t>
      </w:r>
      <w:r w:rsidR="00D0096D">
        <w:rPr>
          <w:rFonts w:hint="cs"/>
          <w:rtl/>
        </w:rPr>
        <w:t>השופט</w:t>
      </w:r>
      <w:r>
        <w:rPr>
          <w:rFonts w:hint="cs"/>
          <w:rtl/>
        </w:rPr>
        <w:t xml:space="preserve"> ומבהיר, כי באופן זה</w:t>
      </w:r>
      <w:r w:rsidRPr="00B473E1">
        <w:rPr>
          <w:rFonts w:hint="cs"/>
          <w:rtl/>
        </w:rPr>
        <w:t xml:space="preserve"> מתנהל לעיתים משא ומתן ממשי בין צדדים באולם בית המשפט, לעיניו ואוזניו של השופט, ואף אם השופט אינו נוטל חלק פעיל בעצם ניהול המשא ומתן, הרי שתרומתו יכולה להיות רבה בעצם נוכחותו, </w:t>
      </w:r>
      <w:proofErr w:type="spellStart"/>
      <w:r w:rsidRPr="00B473E1">
        <w:rPr>
          <w:rFonts w:hint="cs"/>
          <w:rtl/>
        </w:rPr>
        <w:t>בהתווית</w:t>
      </w:r>
      <w:proofErr w:type="spellEnd"/>
      <w:r w:rsidRPr="00B473E1">
        <w:rPr>
          <w:rFonts w:hint="cs"/>
          <w:rtl/>
        </w:rPr>
        <w:t xml:space="preserve"> הכיוון, ובמתן הבמה לצדדים לצורך סיום התיק.</w:t>
      </w:r>
    </w:p>
    <w:p w:rsidR="004C237C" w:rsidRPr="00C40749" w:rsidRDefault="004C237C" w:rsidP="004C237C">
      <w:pPr>
        <w:jc w:val="both"/>
        <w:rPr>
          <w:rFonts w:cs="David"/>
          <w:rtl/>
        </w:rPr>
      </w:pPr>
    </w:p>
    <w:p w:rsidR="004C237C" w:rsidRPr="00B473E1" w:rsidRDefault="009A036E" w:rsidP="009A036E">
      <w:pPr>
        <w:spacing w:line="360" w:lineRule="auto"/>
        <w:jc w:val="both"/>
        <w:rPr>
          <w:rtl/>
        </w:rPr>
      </w:pPr>
      <w:r>
        <w:rPr>
          <w:rFonts w:hint="cs"/>
          <w:rtl/>
        </w:rPr>
        <w:t>7</w:t>
      </w:r>
      <w:r w:rsidR="004C237C" w:rsidRPr="00B473E1">
        <w:rPr>
          <w:rFonts w:hint="cs"/>
          <w:rtl/>
        </w:rPr>
        <w:t>.</w:t>
      </w:r>
      <w:r w:rsidR="004C237C" w:rsidRPr="00B473E1">
        <w:rPr>
          <w:rFonts w:hint="cs"/>
          <w:rtl/>
        </w:rPr>
        <w:tab/>
      </w:r>
      <w:r w:rsidR="00D0096D">
        <w:rPr>
          <w:rFonts w:hint="cs"/>
          <w:rtl/>
        </w:rPr>
        <w:t>השופט</w:t>
      </w:r>
      <w:r w:rsidR="004C237C">
        <w:rPr>
          <w:rFonts w:hint="cs"/>
          <w:rtl/>
        </w:rPr>
        <w:t xml:space="preserve"> מוסיף עוד, כי </w:t>
      </w:r>
      <w:r w:rsidR="004C237C" w:rsidRPr="00B473E1">
        <w:rPr>
          <w:rFonts w:hint="cs"/>
          <w:rtl/>
        </w:rPr>
        <w:t>גם במקרה זה</w:t>
      </w:r>
      <w:r w:rsidR="004C237C">
        <w:rPr>
          <w:rFonts w:hint="cs"/>
          <w:rtl/>
        </w:rPr>
        <w:t xml:space="preserve"> </w:t>
      </w:r>
      <w:r w:rsidR="004C237C" w:rsidRPr="00B473E1">
        <w:rPr>
          <w:rFonts w:hint="cs"/>
          <w:rtl/>
        </w:rPr>
        <w:t xml:space="preserve">יכלו הצדדים לשוחח באופן חופשי יחסית, </w:t>
      </w:r>
      <w:r w:rsidR="004C237C">
        <w:rPr>
          <w:rFonts w:hint="cs"/>
          <w:rtl/>
        </w:rPr>
        <w:t>ו</w:t>
      </w:r>
      <w:r w:rsidR="004C237C" w:rsidRPr="00B473E1">
        <w:rPr>
          <w:rFonts w:hint="cs"/>
          <w:rtl/>
        </w:rPr>
        <w:t xml:space="preserve">זאת למרות שהדיון לא נגע בחומר </w:t>
      </w:r>
      <w:r w:rsidR="004C237C">
        <w:rPr>
          <w:rFonts w:hint="cs"/>
          <w:rtl/>
        </w:rPr>
        <w:t>ה</w:t>
      </w:r>
      <w:r w:rsidR="004C237C" w:rsidRPr="00B473E1">
        <w:rPr>
          <w:rFonts w:hint="cs"/>
          <w:rtl/>
        </w:rPr>
        <w:t>ראיות, ולה</w:t>
      </w:r>
      <w:r w:rsidR="004C237C">
        <w:rPr>
          <w:rFonts w:hint="cs"/>
          <w:rtl/>
        </w:rPr>
        <w:t>ציג</w:t>
      </w:r>
      <w:r w:rsidR="004C237C" w:rsidRPr="00B473E1">
        <w:rPr>
          <w:rFonts w:hint="cs"/>
          <w:rtl/>
        </w:rPr>
        <w:t xml:space="preserve"> את עמדותיהם בדבר סיכויי ההצלחה של גישור</w:t>
      </w:r>
      <w:r w:rsidR="004C237C">
        <w:rPr>
          <w:rFonts w:hint="cs"/>
          <w:rtl/>
        </w:rPr>
        <w:t>,</w:t>
      </w:r>
      <w:r w:rsidR="004C237C" w:rsidRPr="00B473E1">
        <w:rPr>
          <w:rFonts w:hint="cs"/>
          <w:rtl/>
        </w:rPr>
        <w:t xml:space="preserve"> תוך שבית המשפט אף בודק אם ניתן להחזיר</w:t>
      </w:r>
      <w:r w:rsidR="004C237C">
        <w:rPr>
          <w:rFonts w:hint="cs"/>
          <w:rtl/>
        </w:rPr>
        <w:t>,</w:t>
      </w:r>
      <w:r w:rsidR="004C237C" w:rsidRPr="00B473E1">
        <w:rPr>
          <w:rFonts w:hint="cs"/>
          <w:rtl/>
        </w:rPr>
        <w:t xml:space="preserve"> גם בשלב זה</w:t>
      </w:r>
      <w:r w:rsidR="004C237C">
        <w:rPr>
          <w:rFonts w:hint="cs"/>
          <w:rtl/>
        </w:rPr>
        <w:t>,</w:t>
      </w:r>
      <w:r w:rsidR="004C237C" w:rsidRPr="00B473E1">
        <w:rPr>
          <w:rFonts w:hint="cs"/>
          <w:rtl/>
        </w:rPr>
        <w:t xml:space="preserve"> את הצדדים למשא ומתן מחוץ לכותלי בית משפט ואולי אף לה</w:t>
      </w:r>
      <w:r w:rsidR="004C237C">
        <w:rPr>
          <w:rFonts w:hint="cs"/>
          <w:rtl/>
        </w:rPr>
        <w:t>גיע לה</w:t>
      </w:r>
      <w:r w:rsidR="004C237C" w:rsidRPr="00B473E1">
        <w:rPr>
          <w:rFonts w:hint="cs"/>
          <w:rtl/>
        </w:rPr>
        <w:t xml:space="preserve">סדר מותנה. </w:t>
      </w:r>
      <w:r>
        <w:rPr>
          <w:rFonts w:hint="cs"/>
          <w:rtl/>
        </w:rPr>
        <w:t xml:space="preserve">הובהר, כי </w:t>
      </w:r>
      <w:r w:rsidR="004C237C" w:rsidRPr="00B473E1">
        <w:rPr>
          <w:rFonts w:hint="cs"/>
          <w:rtl/>
        </w:rPr>
        <w:t>אין אפשרות לנהל דיון מסוג כזה ללא הסכמה מלאה ומרצו</w:t>
      </w:r>
      <w:r>
        <w:rPr>
          <w:rFonts w:hint="cs"/>
          <w:rtl/>
        </w:rPr>
        <w:t>נם</w:t>
      </w:r>
      <w:r w:rsidR="004C237C" w:rsidRPr="00B473E1">
        <w:rPr>
          <w:rFonts w:hint="cs"/>
          <w:rtl/>
        </w:rPr>
        <w:t xml:space="preserve"> של הצדדים</w:t>
      </w:r>
      <w:r>
        <w:rPr>
          <w:rFonts w:hint="cs"/>
          <w:rtl/>
        </w:rPr>
        <w:t>.</w:t>
      </w:r>
      <w:r w:rsidR="004C237C" w:rsidRPr="00B473E1">
        <w:rPr>
          <w:rFonts w:hint="cs"/>
          <w:rtl/>
        </w:rPr>
        <w:t xml:space="preserve"> </w:t>
      </w:r>
    </w:p>
    <w:p w:rsidR="004C237C" w:rsidRPr="00B473E1" w:rsidRDefault="004C237C" w:rsidP="004C237C">
      <w:pPr>
        <w:jc w:val="both"/>
        <w:rPr>
          <w:rtl/>
        </w:rPr>
      </w:pPr>
    </w:p>
    <w:p w:rsidR="004C237C" w:rsidRPr="00B473E1" w:rsidRDefault="009A036E" w:rsidP="009A036E">
      <w:pPr>
        <w:spacing w:line="360" w:lineRule="auto"/>
        <w:jc w:val="both"/>
        <w:rPr>
          <w:rtl/>
        </w:rPr>
      </w:pPr>
      <w:r>
        <w:rPr>
          <w:rFonts w:hint="cs"/>
          <w:rtl/>
        </w:rPr>
        <w:lastRenderedPageBreak/>
        <w:t>8</w:t>
      </w:r>
      <w:r w:rsidR="004C237C" w:rsidRPr="00B473E1">
        <w:rPr>
          <w:rFonts w:hint="cs"/>
          <w:rtl/>
        </w:rPr>
        <w:t>.</w:t>
      </w:r>
      <w:r w:rsidR="004C237C" w:rsidRPr="00B473E1">
        <w:rPr>
          <w:rFonts w:hint="cs"/>
          <w:rtl/>
        </w:rPr>
        <w:tab/>
      </w:r>
      <w:r w:rsidR="00D0096D">
        <w:rPr>
          <w:rFonts w:hint="cs"/>
          <w:rtl/>
        </w:rPr>
        <w:t>השופט</w:t>
      </w:r>
      <w:r w:rsidR="004C237C">
        <w:rPr>
          <w:rFonts w:hint="cs"/>
          <w:rtl/>
        </w:rPr>
        <w:t xml:space="preserve"> הדגיש, כי </w:t>
      </w:r>
      <w:r w:rsidR="004C237C" w:rsidRPr="00B473E1">
        <w:rPr>
          <w:rFonts w:hint="cs"/>
          <w:rtl/>
        </w:rPr>
        <w:t>הצורך בניהול דיון בעל חשיבות ציבורית</w:t>
      </w:r>
      <w:r w:rsidR="004C237C">
        <w:rPr>
          <w:rFonts w:hint="cs"/>
          <w:rtl/>
        </w:rPr>
        <w:t>,</w:t>
      </w:r>
      <w:r w:rsidR="004C237C" w:rsidRPr="00B473E1">
        <w:rPr>
          <w:rFonts w:hint="cs"/>
          <w:rtl/>
        </w:rPr>
        <w:t xml:space="preserve"> באולם פתוח ושקוף</w:t>
      </w:r>
      <w:r w:rsidR="004C237C">
        <w:rPr>
          <w:rFonts w:hint="cs"/>
          <w:rtl/>
        </w:rPr>
        <w:t>,</w:t>
      </w:r>
      <w:r w:rsidR="004C237C" w:rsidRPr="00B473E1">
        <w:rPr>
          <w:rFonts w:hint="cs"/>
          <w:rtl/>
        </w:rPr>
        <w:t xml:space="preserve"> </w:t>
      </w:r>
      <w:r w:rsidR="004C237C">
        <w:rPr>
          <w:rFonts w:hint="cs"/>
          <w:rtl/>
        </w:rPr>
        <w:t>הוא מובן.</w:t>
      </w:r>
      <w:r w:rsidR="004C237C" w:rsidRPr="00B473E1">
        <w:rPr>
          <w:rFonts w:hint="cs"/>
          <w:rtl/>
        </w:rPr>
        <w:t xml:space="preserve"> אך מנגד עומד האינטרס של בית </w:t>
      </w:r>
      <w:r w:rsidR="004C237C">
        <w:rPr>
          <w:rFonts w:hint="cs"/>
          <w:rtl/>
        </w:rPr>
        <w:t>ה</w:t>
      </w:r>
      <w:r w:rsidR="004C237C" w:rsidRPr="00B473E1">
        <w:rPr>
          <w:rFonts w:hint="cs"/>
          <w:rtl/>
        </w:rPr>
        <w:t xml:space="preserve">משפט לקצר הליכים, ולעשות כל שניתן ומותר על פי </w:t>
      </w:r>
      <w:r w:rsidR="004C237C">
        <w:rPr>
          <w:rFonts w:hint="cs"/>
          <w:rtl/>
        </w:rPr>
        <w:t>ה</w:t>
      </w:r>
      <w:r w:rsidR="004C237C" w:rsidRPr="00B473E1">
        <w:rPr>
          <w:rFonts w:hint="cs"/>
          <w:rtl/>
        </w:rPr>
        <w:t>חוק על מנת לברר אם התיק מחייב שמיעת ראיות, במיוחד כאשר מדובר בתיק אשר</w:t>
      </w:r>
      <w:r>
        <w:rPr>
          <w:rFonts w:hint="cs"/>
          <w:rtl/>
        </w:rPr>
        <w:t xml:space="preserve"> במסגרתו צפויים להישמע עדים רבים </w:t>
      </w:r>
      <w:r w:rsidR="004C237C" w:rsidRPr="00B473E1">
        <w:rPr>
          <w:rFonts w:hint="cs"/>
          <w:rtl/>
        </w:rPr>
        <w:t xml:space="preserve">בין שני האינטרסים המתנגשים הללו, </w:t>
      </w:r>
      <w:r w:rsidR="00D0096D">
        <w:rPr>
          <w:rFonts w:hint="cs"/>
          <w:rtl/>
        </w:rPr>
        <w:t>השופט</w:t>
      </w:r>
      <w:r w:rsidR="004C237C" w:rsidRPr="00B473E1">
        <w:rPr>
          <w:rFonts w:hint="cs"/>
          <w:rtl/>
        </w:rPr>
        <w:t xml:space="preserve"> אינו סבור </w:t>
      </w:r>
      <w:r w:rsidR="004C237C">
        <w:rPr>
          <w:rFonts w:hint="cs"/>
          <w:rtl/>
        </w:rPr>
        <w:t xml:space="preserve">כי </w:t>
      </w:r>
      <w:r w:rsidR="004C237C" w:rsidRPr="00B473E1">
        <w:rPr>
          <w:rFonts w:hint="cs"/>
          <w:rtl/>
        </w:rPr>
        <w:t>האינטרס הציבורי או אמון הציבור נפגע</w:t>
      </w:r>
      <w:r w:rsidR="004C237C">
        <w:rPr>
          <w:rFonts w:hint="cs"/>
          <w:rtl/>
        </w:rPr>
        <w:t>ים</w:t>
      </w:r>
      <w:r w:rsidR="004C237C" w:rsidRPr="00B473E1">
        <w:rPr>
          <w:rFonts w:hint="cs"/>
          <w:rtl/>
        </w:rPr>
        <w:t xml:space="preserve"> כאשר בית המשפט מנהל</w:t>
      </w:r>
      <w:r w:rsidR="004C237C">
        <w:rPr>
          <w:rFonts w:hint="cs"/>
          <w:rtl/>
        </w:rPr>
        <w:t>,</w:t>
      </w:r>
      <w:r w:rsidR="004C237C" w:rsidRPr="00B473E1">
        <w:rPr>
          <w:rFonts w:hint="cs"/>
          <w:rtl/>
        </w:rPr>
        <w:t xml:space="preserve"> בנוכחות עורכי הדין בלבד, דיון טכני</w:t>
      </w:r>
      <w:r w:rsidR="004C237C">
        <w:rPr>
          <w:rFonts w:hint="cs"/>
          <w:rtl/>
        </w:rPr>
        <w:t>,</w:t>
      </w:r>
      <w:r w:rsidR="004C237C" w:rsidRPr="00B473E1">
        <w:rPr>
          <w:rFonts w:hint="cs"/>
          <w:rtl/>
        </w:rPr>
        <w:t xml:space="preserve"> אשר מגמתו </w:t>
      </w:r>
      <w:r w:rsidR="004C237C">
        <w:rPr>
          <w:rFonts w:hint="cs"/>
          <w:rtl/>
        </w:rPr>
        <w:t>לקדם את</w:t>
      </w:r>
      <w:r w:rsidR="004C237C" w:rsidRPr="00B473E1">
        <w:rPr>
          <w:rFonts w:hint="cs"/>
          <w:rtl/>
        </w:rPr>
        <w:t xml:space="preserve"> התיק ל</w:t>
      </w:r>
      <w:r w:rsidR="004C237C">
        <w:rPr>
          <w:rFonts w:hint="cs"/>
          <w:rtl/>
        </w:rPr>
        <w:t xml:space="preserve">קראת </w:t>
      </w:r>
      <w:r w:rsidR="004C237C" w:rsidRPr="00B473E1">
        <w:rPr>
          <w:rFonts w:hint="cs"/>
          <w:rtl/>
        </w:rPr>
        <w:t>סופו או קיצורו של ההליך</w:t>
      </w:r>
      <w:r w:rsidR="004C237C">
        <w:rPr>
          <w:rFonts w:hint="cs"/>
          <w:rtl/>
        </w:rPr>
        <w:t>,</w:t>
      </w:r>
      <w:r w:rsidR="004C237C" w:rsidRPr="00B473E1">
        <w:rPr>
          <w:rFonts w:hint="cs"/>
          <w:rtl/>
        </w:rPr>
        <w:t xml:space="preserve"> באופן משמעותי.</w:t>
      </w:r>
    </w:p>
    <w:p w:rsidR="004C237C" w:rsidRDefault="004C237C" w:rsidP="004C237C">
      <w:pPr>
        <w:jc w:val="both"/>
        <w:rPr>
          <w:rtl/>
        </w:rPr>
      </w:pPr>
    </w:p>
    <w:p w:rsidR="004C237C" w:rsidRDefault="009A036E" w:rsidP="009A036E">
      <w:pPr>
        <w:spacing w:line="360" w:lineRule="auto"/>
        <w:jc w:val="both"/>
        <w:rPr>
          <w:rtl/>
        </w:rPr>
      </w:pPr>
      <w:r>
        <w:rPr>
          <w:rFonts w:hint="cs"/>
          <w:rtl/>
        </w:rPr>
        <w:t>9.</w:t>
      </w:r>
      <w:r w:rsidR="004C237C">
        <w:rPr>
          <w:rFonts w:hint="cs"/>
          <w:rtl/>
        </w:rPr>
        <w:tab/>
      </w:r>
      <w:r>
        <w:rPr>
          <w:rFonts w:hint="cs"/>
          <w:rtl/>
        </w:rPr>
        <w:t xml:space="preserve">לאחר עיון בתלונה ובתגובת השופט, החליט הנציב לדחות את התלונה. </w:t>
      </w:r>
      <w:r w:rsidR="004C237C">
        <w:rPr>
          <w:rFonts w:hint="cs"/>
          <w:rtl/>
        </w:rPr>
        <w:t xml:space="preserve">כאמור לעיל, המתלונן מפנה בתלונתו לדברים שכתב הנציב הקודם בהחלטה מס' 348/18. אלא מאי? הדברים שנכתבו שם התייחסו לצירוף של עובדות אשר אינו מתקיים במקרה זה, והנידון אינו דומה לראיה: באותו מקרה התנהל דיון בלשכתו של השופט ללא נוכחותם של כל הצדדים המעורבים בהליך, מה שאין כן כאן; בהחלטת הנציב (בסעיף 39) נאמר במפורש, כי האמור בה איננו מתייחס להליכי קדם משפט, ומדובר היה במפגש בלשכה לשם קידום משא ומתן, אשר נערך לפני אותו מותב, אשר דן בהליך עצמו והדיון בתיק היה קבוע בפניו. במקרה שלפנינו מדובר, לכל היותר, בהצעה של </w:t>
      </w:r>
      <w:r w:rsidR="00D0096D">
        <w:rPr>
          <w:rFonts w:hint="cs"/>
          <w:rtl/>
        </w:rPr>
        <w:t>השופט</w:t>
      </w:r>
      <w:r w:rsidR="004C237C">
        <w:rPr>
          <w:rFonts w:hint="cs"/>
          <w:rtl/>
        </w:rPr>
        <w:t xml:space="preserve"> להעביר את התיק להליך של גישור פלילי בפני מותב אחר, כפי שנעשה בסופו של יום, ואין עסקינן בשופט המשמש באותה עת גם כמגשר. </w:t>
      </w:r>
    </w:p>
    <w:p w:rsidR="004C237C" w:rsidRDefault="004C237C" w:rsidP="004C237C">
      <w:pPr>
        <w:jc w:val="both"/>
        <w:rPr>
          <w:rtl/>
        </w:rPr>
      </w:pPr>
    </w:p>
    <w:p w:rsidR="004C237C" w:rsidRDefault="004C237C" w:rsidP="009A036E">
      <w:pPr>
        <w:spacing w:line="360" w:lineRule="auto"/>
        <w:jc w:val="both"/>
        <w:rPr>
          <w:rtl/>
        </w:rPr>
      </w:pPr>
      <w:r>
        <w:rPr>
          <w:rFonts w:hint="cs"/>
          <w:rtl/>
        </w:rPr>
        <w:t>1</w:t>
      </w:r>
      <w:r w:rsidR="009A036E">
        <w:rPr>
          <w:rFonts w:hint="cs"/>
          <w:rtl/>
        </w:rPr>
        <w:t>0</w:t>
      </w:r>
      <w:r>
        <w:rPr>
          <w:rFonts w:hint="cs"/>
          <w:rtl/>
        </w:rPr>
        <w:t>.</w:t>
      </w:r>
      <w:r>
        <w:rPr>
          <w:rFonts w:hint="cs"/>
          <w:rtl/>
        </w:rPr>
        <w:tab/>
        <w:t xml:space="preserve">בפועל, הדיון השני לא התקיים בדלתיים סגורות, שכן לשם כך יש צורך בהחלטה פורמלית, וכזו לא ניתנה; הישיבה גם לא התקיימה בלשכתו של </w:t>
      </w:r>
      <w:r w:rsidR="00D0096D">
        <w:rPr>
          <w:rFonts w:hint="cs"/>
          <w:rtl/>
        </w:rPr>
        <w:t>השופט</w:t>
      </w:r>
      <w:r>
        <w:rPr>
          <w:rFonts w:hint="cs"/>
          <w:rtl/>
        </w:rPr>
        <w:t xml:space="preserve">, כפי שנכתב בהחלטתו הקודמת, אלא באולם בית המשפט, כפי שמסר </w:t>
      </w:r>
      <w:r w:rsidR="00D0096D">
        <w:rPr>
          <w:rFonts w:hint="cs"/>
          <w:rtl/>
        </w:rPr>
        <w:t>השופט</w:t>
      </w:r>
      <w:r>
        <w:rPr>
          <w:rFonts w:hint="cs"/>
          <w:rtl/>
        </w:rPr>
        <w:t xml:space="preserve"> בתגובתו, והיא נועדה לבחון את האפשרויות באשר לאופן ניהול התיק (ראו, בהקשר זה, סעיף 143א לחוק סדר הדין הפלילי [נוסח משולב], התשמ"ב-1982). </w:t>
      </w:r>
    </w:p>
    <w:p w:rsidR="004C237C" w:rsidRDefault="004C237C" w:rsidP="009A036E">
      <w:pPr>
        <w:spacing w:line="360" w:lineRule="auto"/>
        <w:ind w:firstLine="720"/>
        <w:jc w:val="both"/>
        <w:rPr>
          <w:rtl/>
        </w:rPr>
      </w:pPr>
      <w:r>
        <w:rPr>
          <w:rFonts w:hint="cs"/>
          <w:rtl/>
        </w:rPr>
        <w:t xml:space="preserve">הדיון "מחוץ לפרוטוקול" התקיים בהסכמת הצדדים, כאשר תוכן הדברים שנאמרו לא נרשם. זאת, כפי שמסר השופט בתגובתו, על מנת לאפשר לב"כ הצדדים להביע את עמדותיהם בעניין אופן ניהול התיק, באופן חופשי. בדיון מסוג זה, כשלעצמו, אין כל פסול, גם במסגרת הליך פלילי, והסברו של השופט, </w:t>
      </w:r>
      <w:r w:rsidR="009A036E">
        <w:rPr>
          <w:rFonts w:hint="cs"/>
          <w:rtl/>
        </w:rPr>
        <w:t xml:space="preserve">כך קבע הנציב, </w:t>
      </w:r>
      <w:r>
        <w:rPr>
          <w:rFonts w:hint="cs"/>
          <w:rtl/>
        </w:rPr>
        <w:t>באשר לנסיבות הספציפיות של מקרה זה, אשר הובילו אותו לקיים דיון במתכונת המתוארת לעיל, מקובל על</w:t>
      </w:r>
      <w:r w:rsidR="009A036E">
        <w:rPr>
          <w:rFonts w:hint="cs"/>
          <w:rtl/>
        </w:rPr>
        <w:t>יו</w:t>
      </w:r>
      <w:r>
        <w:rPr>
          <w:rFonts w:hint="cs"/>
          <w:rtl/>
        </w:rPr>
        <w:t>.</w:t>
      </w:r>
    </w:p>
    <w:p w:rsidR="004C237C" w:rsidRDefault="004C237C" w:rsidP="004C237C">
      <w:pPr>
        <w:jc w:val="both"/>
        <w:rPr>
          <w:rtl/>
        </w:rPr>
      </w:pPr>
      <w:r>
        <w:rPr>
          <w:rFonts w:hint="cs"/>
          <w:rtl/>
        </w:rPr>
        <w:tab/>
      </w:r>
    </w:p>
    <w:p w:rsidR="004C237C" w:rsidRDefault="004C237C" w:rsidP="009A036E">
      <w:pPr>
        <w:spacing w:line="360" w:lineRule="auto"/>
        <w:jc w:val="both"/>
        <w:rPr>
          <w:rtl/>
        </w:rPr>
      </w:pPr>
      <w:r>
        <w:rPr>
          <w:rFonts w:hint="cs"/>
          <w:rtl/>
        </w:rPr>
        <w:t>1</w:t>
      </w:r>
      <w:r w:rsidR="009A036E">
        <w:rPr>
          <w:rFonts w:hint="cs"/>
          <w:rtl/>
        </w:rPr>
        <w:t>1</w:t>
      </w:r>
      <w:r>
        <w:rPr>
          <w:rFonts w:hint="cs"/>
          <w:rtl/>
        </w:rPr>
        <w:t>.</w:t>
      </w:r>
      <w:r>
        <w:rPr>
          <w:rFonts w:hint="cs"/>
          <w:rtl/>
        </w:rPr>
        <w:tab/>
        <w:t xml:space="preserve">הנציב לא מצא כי נפל פגם כלשהו בהתנהלותו האמורה של השופט, אשר באמצעות דיון "מחוץ לפרוטוקול", שעצם קיומו תועד בפרוטוקול, ביקש לבדוק עם באי כוח הצדדים ובהסכמתם, בשלב מקדמי של התיק, כיצד הוא יתנהל, ולברר את עמדתם לגבי העברת התיק </w:t>
      </w:r>
      <w:r>
        <w:rPr>
          <w:rFonts w:hint="cs"/>
          <w:rtl/>
        </w:rPr>
        <w:lastRenderedPageBreak/>
        <w:t xml:space="preserve">לגישור פלילי, בפני מותב אחר. עוד הוסיף הנציב, כי לא התרשם </w:t>
      </w:r>
      <w:proofErr w:type="spellStart"/>
      <w:r>
        <w:rPr>
          <w:rFonts w:hint="cs"/>
          <w:rtl/>
        </w:rPr>
        <w:t>שבעשותו</w:t>
      </w:r>
      <w:proofErr w:type="spellEnd"/>
      <w:r>
        <w:rPr>
          <w:rFonts w:hint="cs"/>
          <w:rtl/>
        </w:rPr>
        <w:t xml:space="preserve"> כן, הפעיל השופט "לחץ" על הצדדים להסכים להליך של גישור פלילי, כנטען בתלונה.</w:t>
      </w:r>
    </w:p>
    <w:p w:rsidR="004C237C" w:rsidRDefault="004C237C" w:rsidP="004C237C">
      <w:pPr>
        <w:jc w:val="both"/>
        <w:rPr>
          <w:rtl/>
        </w:rPr>
      </w:pPr>
      <w:r>
        <w:rPr>
          <w:rFonts w:hint="cs"/>
          <w:rtl/>
        </w:rPr>
        <w:tab/>
      </w:r>
    </w:p>
    <w:p w:rsidR="004C237C" w:rsidRDefault="004C237C" w:rsidP="009A036E">
      <w:pPr>
        <w:spacing w:line="360" w:lineRule="auto"/>
        <w:jc w:val="both"/>
        <w:rPr>
          <w:rtl/>
        </w:rPr>
      </w:pPr>
      <w:r>
        <w:rPr>
          <w:rFonts w:hint="cs"/>
          <w:rtl/>
        </w:rPr>
        <w:t>1</w:t>
      </w:r>
      <w:r w:rsidR="009A036E">
        <w:rPr>
          <w:rFonts w:hint="cs"/>
          <w:rtl/>
        </w:rPr>
        <w:t>2</w:t>
      </w:r>
      <w:r>
        <w:rPr>
          <w:rFonts w:hint="cs"/>
          <w:rtl/>
        </w:rPr>
        <w:t>.</w:t>
      </w:r>
      <w:r>
        <w:rPr>
          <w:rFonts w:hint="cs"/>
          <w:rtl/>
        </w:rPr>
        <w:tab/>
      </w:r>
      <w:r w:rsidR="00D0096D">
        <w:rPr>
          <w:rFonts w:hint="cs"/>
          <w:rtl/>
        </w:rPr>
        <w:t xml:space="preserve">הנציב </w:t>
      </w:r>
      <w:r w:rsidR="009A036E">
        <w:rPr>
          <w:rFonts w:hint="cs"/>
          <w:rtl/>
        </w:rPr>
        <w:t xml:space="preserve">ציין עוד </w:t>
      </w:r>
      <w:r w:rsidR="00D0096D">
        <w:rPr>
          <w:rFonts w:hint="cs"/>
          <w:rtl/>
        </w:rPr>
        <w:t xml:space="preserve">בהחלטתו, כי </w:t>
      </w:r>
      <w:r>
        <w:rPr>
          <w:rFonts w:hint="cs"/>
          <w:rtl/>
        </w:rPr>
        <w:t xml:space="preserve">ניכר על המתלונן כי הוא אינו סבור, שתיק בעל חשיבות ציבורית, כגון התיק נשוא התלונה, ראוי שיתברר בדרך של גישור פלילי, אלא בפני בית המשפט, לעיני הציבור. ברם, </w:t>
      </w:r>
      <w:proofErr w:type="spellStart"/>
      <w:r>
        <w:rPr>
          <w:rFonts w:hint="cs"/>
          <w:rtl/>
        </w:rPr>
        <w:t>סוגייה</w:t>
      </w:r>
      <w:proofErr w:type="spellEnd"/>
      <w:r>
        <w:rPr>
          <w:rFonts w:hint="cs"/>
          <w:rtl/>
        </w:rPr>
        <w:t xml:space="preserve"> זו חורגת ממסגרת בירור התלונה, ולא לנציב להכריע בה. </w:t>
      </w:r>
    </w:p>
    <w:p w:rsidR="004C237C" w:rsidRDefault="004C237C" w:rsidP="004C237C">
      <w:pPr>
        <w:jc w:val="both"/>
        <w:rPr>
          <w:rtl/>
        </w:rPr>
      </w:pPr>
    </w:p>
    <w:p w:rsidR="004515D6" w:rsidRDefault="009A036E" w:rsidP="009A036E">
      <w:pPr>
        <w:jc w:val="both"/>
        <w:rPr>
          <w:rtl/>
        </w:rPr>
      </w:pPr>
      <w:r>
        <w:rPr>
          <w:rFonts w:hint="cs"/>
          <w:rtl/>
        </w:rPr>
        <w:t>13.</w:t>
      </w:r>
      <w:r>
        <w:rPr>
          <w:rFonts w:hint="cs"/>
          <w:rtl/>
        </w:rPr>
        <w:tab/>
        <w:t xml:space="preserve">לאור האמור לעיל, </w:t>
      </w:r>
      <w:r w:rsidR="004C237C">
        <w:rPr>
          <w:rFonts w:hint="cs"/>
          <w:rtl/>
        </w:rPr>
        <w:t>התלונה נדחתה.</w:t>
      </w:r>
    </w:p>
    <w:p w:rsidR="00CF1740" w:rsidRDefault="00CF1740" w:rsidP="004C237C">
      <w:pPr>
        <w:spacing w:line="360" w:lineRule="auto"/>
        <w:jc w:val="both"/>
        <w:rPr>
          <w:rtl/>
        </w:rPr>
      </w:pPr>
    </w:p>
    <w:p w:rsidR="00CF1740" w:rsidRDefault="00CF1740" w:rsidP="009A036E">
      <w:pPr>
        <w:ind w:left="3600" w:firstLine="720"/>
        <w:jc w:val="both"/>
        <w:rPr>
          <w:rtl/>
        </w:rPr>
      </w:pPr>
      <w:r>
        <w:rPr>
          <w:rFonts w:hint="cs"/>
          <w:rtl/>
        </w:rPr>
        <w:t>____________________</w:t>
      </w:r>
    </w:p>
    <w:p w:rsidR="00CF1740" w:rsidRDefault="00D0096D" w:rsidP="009A036E">
      <w:pPr>
        <w:ind w:left="4320" w:firstLine="720"/>
        <w:jc w:val="both"/>
        <w:rPr>
          <w:rtl/>
        </w:rPr>
      </w:pPr>
      <w:r>
        <w:rPr>
          <w:rFonts w:hint="cs"/>
          <w:rtl/>
        </w:rPr>
        <w:t xml:space="preserve">   </w:t>
      </w:r>
      <w:r w:rsidR="00CF1740">
        <w:rPr>
          <w:rFonts w:hint="cs"/>
          <w:rtl/>
        </w:rPr>
        <w:t>אורי שהם</w:t>
      </w:r>
    </w:p>
    <w:p w:rsidR="00CF1740" w:rsidRDefault="00CF1740" w:rsidP="009A036E">
      <w:pPr>
        <w:ind w:left="3600" w:firstLine="720"/>
        <w:jc w:val="both"/>
        <w:rPr>
          <w:rtl/>
        </w:rPr>
      </w:pPr>
      <w:r>
        <w:rPr>
          <w:rFonts w:hint="cs"/>
          <w:rtl/>
        </w:rPr>
        <w:t>נציב תלונות הציבור על שופטים</w:t>
      </w:r>
    </w:p>
    <w:p w:rsidR="007E2DDF" w:rsidRPr="008E0A74" w:rsidRDefault="007E2DDF" w:rsidP="00B200B3">
      <w:pPr>
        <w:jc w:val="right"/>
        <w:rPr>
          <w:b/>
          <w:bCs/>
          <w:u w:val="single"/>
          <w:rtl/>
        </w:rPr>
      </w:pPr>
    </w:p>
    <w:sectPr w:rsidR="007E2DDF" w:rsidRPr="008E0A74" w:rsidSect="006D2B00">
      <w:headerReference w:type="default" r:id="rId10"/>
      <w:footerReference w:type="default" r:id="rId11"/>
      <w:headerReference w:type="first" r:id="rId12"/>
      <w:footerReference w:type="first" r:id="rId13"/>
      <w:pgSz w:w="11906" w:h="16838"/>
      <w:pgMar w:top="1440" w:right="1800" w:bottom="1440" w:left="1800" w:header="708" w:footer="708" w:gutter="0"/>
      <w:cols w:space="708"/>
      <w:titlePg/>
      <w:bidi/>
      <w:rtlGutter/>
      <w:docGrid w:linePitch="38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9F" w:rsidRDefault="0041189F">
      <w:r>
        <w:separator/>
      </w:r>
    </w:p>
  </w:endnote>
  <w:endnote w:type="continuationSeparator" w:id="0">
    <w:p w:rsidR="0041189F" w:rsidRDefault="004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A5" w:rsidRPr="0001743E" w:rsidRDefault="001929A5" w:rsidP="001929A5">
    <w:pPr>
      <w:pStyle w:val="a4"/>
      <w:rPr>
        <w:rFonts w:cs="David"/>
        <w:sz w:val="16"/>
        <w:szCs w:val="16"/>
        <w:rtl/>
      </w:rPr>
    </w:pPr>
  </w:p>
  <w:p w:rsidR="001929A5" w:rsidRDefault="001929A5" w:rsidP="001929A5">
    <w:pPr>
      <w:pStyle w:val="a4"/>
      <w:jc w:val="center"/>
      <w:rPr>
        <w:rFonts w:cs="David"/>
        <w:szCs w:val="24"/>
      </w:rPr>
    </w:pPr>
    <w:r>
      <w:rPr>
        <w:rFonts w:cs="David" w:hint="cs"/>
        <w:szCs w:val="24"/>
        <w:rtl/>
      </w:rPr>
      <w:t>____________________________________________________________________</w:t>
    </w:r>
  </w:p>
  <w:p w:rsidR="001929A5" w:rsidRDefault="001929A5" w:rsidP="001929A5">
    <w:pPr>
      <w:pStyle w:val="a4"/>
      <w:jc w:val="center"/>
      <w:rPr>
        <w:rFonts w:cs="David"/>
        <w:szCs w:val="24"/>
        <w:rtl/>
      </w:rPr>
    </w:pPr>
    <w:r>
      <w:rPr>
        <w:rFonts w:cs="David" w:hint="cs"/>
        <w:szCs w:val="24"/>
        <w:rtl/>
      </w:rPr>
      <w:t>נחום חפצדי 5, בית עופר, גבעת שאול 9548401  ירושלים, טל</w:t>
    </w:r>
    <w:r>
      <w:rPr>
        <w:rFonts w:hint="cs"/>
        <w:szCs w:val="24"/>
        <w:rtl/>
      </w:rPr>
      <w:t>:</w:t>
    </w:r>
    <w:r>
      <w:rPr>
        <w:rFonts w:cs="David" w:hint="cs"/>
        <w:szCs w:val="24"/>
        <w:rtl/>
      </w:rPr>
      <w:t xml:space="preserve"> 02-6595511 פקס</w:t>
    </w:r>
    <w:r>
      <w:rPr>
        <w:rFonts w:hint="cs"/>
        <w:szCs w:val="24"/>
        <w:rtl/>
      </w:rPr>
      <w:t>:</w:t>
    </w:r>
    <w:r>
      <w:rPr>
        <w:rFonts w:cs="David" w:hint="cs"/>
        <w:szCs w:val="24"/>
        <w:rtl/>
      </w:rPr>
      <w:t xml:space="preserve"> 02-6595516</w:t>
    </w:r>
  </w:p>
  <w:p w:rsidR="001929A5" w:rsidRDefault="001929A5" w:rsidP="001929A5">
    <w:pPr>
      <w:pStyle w:val="a4"/>
      <w:jc w:val="center"/>
      <w:rPr>
        <w:rFonts w:cs="David"/>
        <w:szCs w:val="24"/>
        <w:rtl/>
      </w:rPr>
    </w:pPr>
    <w:r>
      <w:rPr>
        <w:rFonts w:cs="David" w:hint="cs"/>
        <w:szCs w:val="24"/>
        <w:rtl/>
      </w:rPr>
      <w:t xml:space="preserve">דואר אלקטרוני: </w:t>
    </w:r>
    <w:r>
      <w:rPr>
        <w:rFonts w:cs="David"/>
        <w:szCs w:val="24"/>
      </w:rPr>
      <w:t>Shoftim@justice.gov.il</w:t>
    </w:r>
  </w:p>
  <w:p w:rsidR="001929A5" w:rsidRPr="001929A5" w:rsidRDefault="001929A5" w:rsidP="001929A5">
    <w:pPr>
      <w:pStyle w:val="a4"/>
      <w:jc w:val="center"/>
      <w:rPr>
        <w:rFonts w:cs="David"/>
        <w:szCs w:val="24"/>
      </w:rPr>
    </w:pPr>
    <w:r w:rsidRPr="00F8304F">
      <w:rPr>
        <w:rFonts w:cs="David" w:hint="cs"/>
        <w:szCs w:val="24"/>
        <w:rtl/>
      </w:rPr>
      <w:t xml:space="preserve">אינטרנט: </w:t>
    </w:r>
    <w:r w:rsidRPr="00F8304F">
      <w:rPr>
        <w:rFonts w:cs="David"/>
        <w:szCs w:val="24"/>
      </w:rPr>
      <w:t>http://Shoftim.justice.gov.il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00" w:rsidRPr="0001743E" w:rsidRDefault="006D2B00" w:rsidP="006D2B00">
    <w:pPr>
      <w:pStyle w:val="a4"/>
      <w:rPr>
        <w:rFonts w:cs="David"/>
        <w:sz w:val="16"/>
        <w:szCs w:val="16"/>
        <w:rtl/>
      </w:rPr>
    </w:pPr>
  </w:p>
  <w:p w:rsidR="006D2B00" w:rsidRDefault="006D2B00" w:rsidP="006D2B00">
    <w:pPr>
      <w:pStyle w:val="a4"/>
      <w:jc w:val="center"/>
      <w:rPr>
        <w:rFonts w:cs="David"/>
        <w:szCs w:val="24"/>
      </w:rPr>
    </w:pPr>
    <w:r>
      <w:rPr>
        <w:rFonts w:cs="David" w:hint="cs"/>
        <w:szCs w:val="24"/>
        <w:rtl/>
      </w:rPr>
      <w:t>____________________________________________________________________</w:t>
    </w:r>
  </w:p>
  <w:p w:rsidR="006D2B00" w:rsidRDefault="006D2B00" w:rsidP="006D2B00">
    <w:pPr>
      <w:pStyle w:val="a4"/>
      <w:jc w:val="center"/>
      <w:rPr>
        <w:rFonts w:cs="David"/>
        <w:szCs w:val="24"/>
        <w:rtl/>
      </w:rPr>
    </w:pPr>
    <w:r>
      <w:rPr>
        <w:rFonts w:cs="David" w:hint="cs"/>
        <w:szCs w:val="24"/>
        <w:rtl/>
      </w:rPr>
      <w:t>נחום חפצדי 5, בית עופר, גבעת שאול 95484</w:t>
    </w:r>
    <w:r w:rsidR="00996742">
      <w:rPr>
        <w:rFonts w:cs="David" w:hint="cs"/>
        <w:szCs w:val="24"/>
        <w:rtl/>
      </w:rPr>
      <w:t>01</w:t>
    </w:r>
    <w:r>
      <w:rPr>
        <w:rFonts w:cs="David" w:hint="cs"/>
        <w:szCs w:val="24"/>
        <w:rtl/>
      </w:rPr>
      <w:t xml:space="preserve">  ירושלים, טל</w:t>
    </w:r>
    <w:r>
      <w:rPr>
        <w:rFonts w:hint="cs"/>
        <w:szCs w:val="24"/>
        <w:rtl/>
      </w:rPr>
      <w:t>:</w:t>
    </w:r>
    <w:r>
      <w:rPr>
        <w:rFonts w:cs="David" w:hint="cs"/>
        <w:szCs w:val="24"/>
        <w:rtl/>
      </w:rPr>
      <w:t xml:space="preserve"> 02-6595511 פקס</w:t>
    </w:r>
    <w:r>
      <w:rPr>
        <w:rFonts w:hint="cs"/>
        <w:szCs w:val="24"/>
        <w:rtl/>
      </w:rPr>
      <w:t>:</w:t>
    </w:r>
    <w:r>
      <w:rPr>
        <w:rFonts w:cs="David" w:hint="cs"/>
        <w:szCs w:val="24"/>
        <w:rtl/>
      </w:rPr>
      <w:t xml:space="preserve"> 02-6595516</w:t>
    </w:r>
  </w:p>
  <w:p w:rsidR="008F39C1" w:rsidRDefault="008F39C1" w:rsidP="006D2B00">
    <w:pPr>
      <w:pStyle w:val="a4"/>
      <w:jc w:val="center"/>
      <w:rPr>
        <w:rFonts w:cs="David"/>
        <w:szCs w:val="24"/>
        <w:rtl/>
      </w:rPr>
    </w:pPr>
    <w:r>
      <w:rPr>
        <w:rFonts w:cs="David" w:hint="cs"/>
        <w:szCs w:val="24"/>
        <w:rtl/>
      </w:rPr>
      <w:t xml:space="preserve">דואר אלקטרוני: </w:t>
    </w:r>
    <w:r>
      <w:rPr>
        <w:rFonts w:cs="David"/>
        <w:szCs w:val="24"/>
      </w:rPr>
      <w:t>Shoftim@justice.gov.il</w:t>
    </w:r>
  </w:p>
  <w:p w:rsidR="006D2B00" w:rsidRPr="00F8304F" w:rsidRDefault="006D2B00" w:rsidP="006D2B00">
    <w:pPr>
      <w:pStyle w:val="a4"/>
      <w:jc w:val="center"/>
      <w:rPr>
        <w:rFonts w:cs="David"/>
        <w:szCs w:val="24"/>
        <w:rtl/>
      </w:rPr>
    </w:pPr>
    <w:r w:rsidRPr="00F8304F">
      <w:rPr>
        <w:rFonts w:cs="David" w:hint="cs"/>
        <w:szCs w:val="24"/>
        <w:rtl/>
      </w:rPr>
      <w:t xml:space="preserve">אינטרנט: </w:t>
    </w:r>
    <w:r w:rsidRPr="00F8304F">
      <w:rPr>
        <w:rFonts w:cs="David"/>
        <w:szCs w:val="24"/>
      </w:rPr>
      <w:t>http://Shoftim.justice.gov.il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9F" w:rsidRDefault="0041189F">
      <w:r>
        <w:separator/>
      </w:r>
    </w:p>
  </w:footnote>
  <w:footnote w:type="continuationSeparator" w:id="0">
    <w:p w:rsidR="0041189F" w:rsidRDefault="00411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1E" w:rsidRPr="009D38C1" w:rsidRDefault="009D38C1" w:rsidP="00525380">
    <w:pPr>
      <w:ind w:left="84"/>
      <w:jc w:val="center"/>
      <w:rPr>
        <w:rtl/>
      </w:rPr>
    </w:pPr>
    <w:r w:rsidRPr="009D38C1">
      <w:fldChar w:fldCharType="begin"/>
    </w:r>
    <w:r w:rsidRPr="009D38C1">
      <w:instrText xml:space="preserve"> PAGE   \* MERGEFORMAT </w:instrText>
    </w:r>
    <w:r w:rsidRPr="009D38C1">
      <w:fldChar w:fldCharType="separate"/>
    </w:r>
    <w:r w:rsidR="001F256D">
      <w:rPr>
        <w:noProof/>
        <w:rtl/>
      </w:rPr>
      <w:t>2</w:t>
    </w:r>
    <w:r w:rsidRPr="009D38C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00" w:rsidRDefault="006D2B00" w:rsidP="006D2B00">
    <w:pPr>
      <w:framePr w:hSpace="180" w:wrap="around" w:vAnchor="text" w:hAnchor="page" w:x="6691" w:y="-17"/>
      <w:jc w:val="center"/>
      <w:rPr>
        <w:rtl/>
      </w:rPr>
    </w:pPr>
  </w:p>
  <w:p w:rsidR="006D2B00" w:rsidRDefault="006D2B00" w:rsidP="006D2B00">
    <w:pPr>
      <w:pStyle w:val="a5"/>
      <w:jc w:val="right"/>
      <w:rPr>
        <w:b/>
      </w:rPr>
    </w:pPr>
  </w:p>
  <w:p w:rsidR="00525380" w:rsidRDefault="00525380" w:rsidP="006D2B00">
    <w:pPr>
      <w:pStyle w:val="a5"/>
      <w:jc w:val="right"/>
      <w:rPr>
        <w:b/>
      </w:rPr>
    </w:pPr>
  </w:p>
  <w:p w:rsidR="00525380" w:rsidRPr="00525380" w:rsidRDefault="006A7F38" w:rsidP="00525380">
    <w:pPr>
      <w:jc w:val="center"/>
      <w:rPr>
        <w:rtl/>
      </w:rPr>
    </w:pPr>
    <w:r>
      <w:rPr>
        <w:rFonts w:hint="cs"/>
        <w:noProof/>
        <w:rtl/>
      </w:rPr>
      <w:drawing>
        <wp:inline distT="0" distB="0" distL="0" distR="0">
          <wp:extent cx="592234" cy="731738"/>
          <wp:effectExtent l="0" t="0" r="0" b="0"/>
          <wp:docPr id="1" name="תמונה 1" descr="סמל מדינת ישראל" title="סמ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px-Emblem_of_Israel.svg.png"/>
                  <pic:cNvPicPr/>
                </pic:nvPicPr>
                <pic:blipFill>
                  <a:blip r:embed="rId1">
                    <a:extLst>
                      <a:ext uri="{28A0092B-C50C-407E-A947-70E740481C1C}">
                        <a14:useLocalDpi xmlns:a14="http://schemas.microsoft.com/office/drawing/2010/main" val="0"/>
                      </a:ext>
                    </a:extLst>
                  </a:blip>
                  <a:stretch>
                    <a:fillRect/>
                  </a:stretch>
                </pic:blipFill>
                <pic:spPr>
                  <a:xfrm>
                    <a:off x="0" y="0"/>
                    <a:ext cx="619927" cy="765955"/>
                  </a:xfrm>
                  <a:prstGeom prst="rect">
                    <a:avLst/>
                  </a:prstGeom>
                </pic:spPr>
              </pic:pic>
            </a:graphicData>
          </a:graphic>
        </wp:inline>
      </w:drawing>
    </w:r>
  </w:p>
  <w:p w:rsidR="006D2B00" w:rsidRPr="00525380" w:rsidRDefault="006D2B00" w:rsidP="00525380">
    <w:pPr>
      <w:pStyle w:val="a5"/>
      <w:spacing w:before="240" w:after="240"/>
      <w:rPr>
        <w:color w:val="0000FF"/>
      </w:rPr>
    </w:pPr>
    <w:r w:rsidRPr="000076EF">
      <w:rPr>
        <w:rFonts w:hint="cs"/>
        <w:color w:val="0000FF"/>
        <w:rtl/>
      </w:rPr>
      <w:t>נציבות תלונות הציבור על שופטים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65EF6"/>
    <w:multiLevelType w:val="hybridMultilevel"/>
    <w:tmpl w:val="A1188E12"/>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
    <w:nsid w:val="5D375D58"/>
    <w:multiLevelType w:val="hybridMultilevel"/>
    <w:tmpl w:val="3A58CB44"/>
    <w:lvl w:ilvl="0" w:tplc="0409000F">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2">
    <w:nsid w:val="62C86EFE"/>
    <w:multiLevelType w:val="hybridMultilevel"/>
    <w:tmpl w:val="B0647A24"/>
    <w:lvl w:ilvl="0" w:tplc="4C2811FC">
      <w:start w:val="1"/>
      <w:numFmt w:val="decimal"/>
      <w:pStyle w:val="a"/>
      <w:lvlText w:val="%1."/>
      <w:lvlJc w:val="left"/>
      <w:pPr>
        <w:ind w:left="722" w:hanging="78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nsid w:val="7A904938"/>
    <w:multiLevelType w:val="hybridMultilevel"/>
    <w:tmpl w:val="5818FCCE"/>
    <w:lvl w:ilvl="0" w:tplc="B39291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AC"/>
    <w:rsid w:val="00006867"/>
    <w:rsid w:val="0001743E"/>
    <w:rsid w:val="00017A48"/>
    <w:rsid w:val="00045699"/>
    <w:rsid w:val="00053427"/>
    <w:rsid w:val="00072161"/>
    <w:rsid w:val="000819F2"/>
    <w:rsid w:val="000862C0"/>
    <w:rsid w:val="0009350F"/>
    <w:rsid w:val="00093F3D"/>
    <w:rsid w:val="000A0497"/>
    <w:rsid w:val="000A3C1D"/>
    <w:rsid w:val="000A7F9E"/>
    <w:rsid w:val="000B38FF"/>
    <w:rsid w:val="000D03F2"/>
    <w:rsid w:val="000D1B16"/>
    <w:rsid w:val="000F4166"/>
    <w:rsid w:val="0010216C"/>
    <w:rsid w:val="00102625"/>
    <w:rsid w:val="001055D9"/>
    <w:rsid w:val="0011202F"/>
    <w:rsid w:val="00113DCF"/>
    <w:rsid w:val="001278FB"/>
    <w:rsid w:val="00135184"/>
    <w:rsid w:val="00137551"/>
    <w:rsid w:val="001451C0"/>
    <w:rsid w:val="001458F1"/>
    <w:rsid w:val="00155226"/>
    <w:rsid w:val="00166A2B"/>
    <w:rsid w:val="00167DCC"/>
    <w:rsid w:val="00175E5C"/>
    <w:rsid w:val="001834C7"/>
    <w:rsid w:val="001929A5"/>
    <w:rsid w:val="00194954"/>
    <w:rsid w:val="001B476F"/>
    <w:rsid w:val="001D0D19"/>
    <w:rsid w:val="001D62FD"/>
    <w:rsid w:val="001E2550"/>
    <w:rsid w:val="001E5448"/>
    <w:rsid w:val="001F256D"/>
    <w:rsid w:val="001F30DE"/>
    <w:rsid w:val="001F34BB"/>
    <w:rsid w:val="001F59C6"/>
    <w:rsid w:val="001F59CE"/>
    <w:rsid w:val="00223F79"/>
    <w:rsid w:val="00230F75"/>
    <w:rsid w:val="002662C9"/>
    <w:rsid w:val="0026759D"/>
    <w:rsid w:val="002715C3"/>
    <w:rsid w:val="00277B47"/>
    <w:rsid w:val="002A2FB4"/>
    <w:rsid w:val="002A501D"/>
    <w:rsid w:val="002E1579"/>
    <w:rsid w:val="002E5F5A"/>
    <w:rsid w:val="002E6D18"/>
    <w:rsid w:val="00322D52"/>
    <w:rsid w:val="0032494F"/>
    <w:rsid w:val="003611F0"/>
    <w:rsid w:val="003839B3"/>
    <w:rsid w:val="003922CD"/>
    <w:rsid w:val="003A715F"/>
    <w:rsid w:val="003B551D"/>
    <w:rsid w:val="003C5944"/>
    <w:rsid w:val="003C6B6E"/>
    <w:rsid w:val="003F52E9"/>
    <w:rsid w:val="0041189F"/>
    <w:rsid w:val="00421D56"/>
    <w:rsid w:val="00423817"/>
    <w:rsid w:val="0043063A"/>
    <w:rsid w:val="00437DA0"/>
    <w:rsid w:val="0044040E"/>
    <w:rsid w:val="004515D6"/>
    <w:rsid w:val="00456A43"/>
    <w:rsid w:val="00477791"/>
    <w:rsid w:val="00483B9F"/>
    <w:rsid w:val="00485564"/>
    <w:rsid w:val="004A04FE"/>
    <w:rsid w:val="004A05F1"/>
    <w:rsid w:val="004A109E"/>
    <w:rsid w:val="004A6838"/>
    <w:rsid w:val="004B0267"/>
    <w:rsid w:val="004B5FD2"/>
    <w:rsid w:val="004B6AA2"/>
    <w:rsid w:val="004C237C"/>
    <w:rsid w:val="00524037"/>
    <w:rsid w:val="005248E5"/>
    <w:rsid w:val="00525380"/>
    <w:rsid w:val="00546D1E"/>
    <w:rsid w:val="00556F08"/>
    <w:rsid w:val="00564F56"/>
    <w:rsid w:val="00575030"/>
    <w:rsid w:val="00584686"/>
    <w:rsid w:val="005A271C"/>
    <w:rsid w:val="005B032C"/>
    <w:rsid w:val="005C313C"/>
    <w:rsid w:val="005E5AAC"/>
    <w:rsid w:val="005F2489"/>
    <w:rsid w:val="00601723"/>
    <w:rsid w:val="006058F1"/>
    <w:rsid w:val="0061368E"/>
    <w:rsid w:val="00620E1C"/>
    <w:rsid w:val="0063390F"/>
    <w:rsid w:val="0065601B"/>
    <w:rsid w:val="00656AAC"/>
    <w:rsid w:val="00677581"/>
    <w:rsid w:val="00687B07"/>
    <w:rsid w:val="006A7F38"/>
    <w:rsid w:val="006B2AF0"/>
    <w:rsid w:val="006B6B9A"/>
    <w:rsid w:val="006C04C8"/>
    <w:rsid w:val="006C09EA"/>
    <w:rsid w:val="006D2B00"/>
    <w:rsid w:val="006D3D83"/>
    <w:rsid w:val="006D5396"/>
    <w:rsid w:val="006E7DAB"/>
    <w:rsid w:val="006F5614"/>
    <w:rsid w:val="007228F6"/>
    <w:rsid w:val="00730FD9"/>
    <w:rsid w:val="00761412"/>
    <w:rsid w:val="00770642"/>
    <w:rsid w:val="00776CFF"/>
    <w:rsid w:val="007953BD"/>
    <w:rsid w:val="007B12FA"/>
    <w:rsid w:val="007B18D9"/>
    <w:rsid w:val="007B2128"/>
    <w:rsid w:val="007D04A6"/>
    <w:rsid w:val="007D3030"/>
    <w:rsid w:val="007E18B3"/>
    <w:rsid w:val="007E2DDF"/>
    <w:rsid w:val="00823256"/>
    <w:rsid w:val="00836FED"/>
    <w:rsid w:val="0084038A"/>
    <w:rsid w:val="00850906"/>
    <w:rsid w:val="00853533"/>
    <w:rsid w:val="00854944"/>
    <w:rsid w:val="00856BB4"/>
    <w:rsid w:val="00861E9D"/>
    <w:rsid w:val="0086672C"/>
    <w:rsid w:val="00890EAF"/>
    <w:rsid w:val="00890EF1"/>
    <w:rsid w:val="008A02C0"/>
    <w:rsid w:val="008B2C84"/>
    <w:rsid w:val="008B698C"/>
    <w:rsid w:val="008C2891"/>
    <w:rsid w:val="008E076D"/>
    <w:rsid w:val="008E0A74"/>
    <w:rsid w:val="008F39C1"/>
    <w:rsid w:val="0090423B"/>
    <w:rsid w:val="009316EB"/>
    <w:rsid w:val="0094711E"/>
    <w:rsid w:val="00981C4F"/>
    <w:rsid w:val="00987AC8"/>
    <w:rsid w:val="009958E5"/>
    <w:rsid w:val="00996742"/>
    <w:rsid w:val="009A036E"/>
    <w:rsid w:val="009A1076"/>
    <w:rsid w:val="009D38C1"/>
    <w:rsid w:val="009E072B"/>
    <w:rsid w:val="00A2562B"/>
    <w:rsid w:val="00A261E2"/>
    <w:rsid w:val="00A26210"/>
    <w:rsid w:val="00A447C7"/>
    <w:rsid w:val="00A5344C"/>
    <w:rsid w:val="00A715E2"/>
    <w:rsid w:val="00A872B6"/>
    <w:rsid w:val="00A91EFA"/>
    <w:rsid w:val="00AB2A45"/>
    <w:rsid w:val="00AB4F4B"/>
    <w:rsid w:val="00AC2282"/>
    <w:rsid w:val="00AE42BC"/>
    <w:rsid w:val="00B058CD"/>
    <w:rsid w:val="00B200B3"/>
    <w:rsid w:val="00B34753"/>
    <w:rsid w:val="00B36BB1"/>
    <w:rsid w:val="00B67424"/>
    <w:rsid w:val="00B83118"/>
    <w:rsid w:val="00B90280"/>
    <w:rsid w:val="00B92AD1"/>
    <w:rsid w:val="00B97034"/>
    <w:rsid w:val="00BD2AB2"/>
    <w:rsid w:val="00BE16B8"/>
    <w:rsid w:val="00BE5495"/>
    <w:rsid w:val="00BF45E1"/>
    <w:rsid w:val="00C030BE"/>
    <w:rsid w:val="00C050EA"/>
    <w:rsid w:val="00C11FBF"/>
    <w:rsid w:val="00C13A8E"/>
    <w:rsid w:val="00C21D56"/>
    <w:rsid w:val="00C35DAD"/>
    <w:rsid w:val="00C40866"/>
    <w:rsid w:val="00C424A3"/>
    <w:rsid w:val="00C570F4"/>
    <w:rsid w:val="00C6000C"/>
    <w:rsid w:val="00C7193B"/>
    <w:rsid w:val="00C87A15"/>
    <w:rsid w:val="00C90AB1"/>
    <w:rsid w:val="00C93B7B"/>
    <w:rsid w:val="00C96B0C"/>
    <w:rsid w:val="00CC4E2A"/>
    <w:rsid w:val="00CC5F2C"/>
    <w:rsid w:val="00CD6822"/>
    <w:rsid w:val="00CE158D"/>
    <w:rsid w:val="00CF1740"/>
    <w:rsid w:val="00D0096D"/>
    <w:rsid w:val="00D11E00"/>
    <w:rsid w:val="00D24C70"/>
    <w:rsid w:val="00D34BDF"/>
    <w:rsid w:val="00D53A9D"/>
    <w:rsid w:val="00D57E48"/>
    <w:rsid w:val="00D71A85"/>
    <w:rsid w:val="00D82AB9"/>
    <w:rsid w:val="00D86073"/>
    <w:rsid w:val="00D91BC8"/>
    <w:rsid w:val="00DA2D94"/>
    <w:rsid w:val="00DB48E4"/>
    <w:rsid w:val="00DE6489"/>
    <w:rsid w:val="00DF1707"/>
    <w:rsid w:val="00E0062D"/>
    <w:rsid w:val="00E01926"/>
    <w:rsid w:val="00E30723"/>
    <w:rsid w:val="00E34E11"/>
    <w:rsid w:val="00E422FA"/>
    <w:rsid w:val="00E604A7"/>
    <w:rsid w:val="00E61254"/>
    <w:rsid w:val="00E72B01"/>
    <w:rsid w:val="00E75274"/>
    <w:rsid w:val="00E857E0"/>
    <w:rsid w:val="00E970BD"/>
    <w:rsid w:val="00EB1EE4"/>
    <w:rsid w:val="00EB5716"/>
    <w:rsid w:val="00EB5BD7"/>
    <w:rsid w:val="00EB6A88"/>
    <w:rsid w:val="00EC4089"/>
    <w:rsid w:val="00EC767E"/>
    <w:rsid w:val="00EF0426"/>
    <w:rsid w:val="00F01DEF"/>
    <w:rsid w:val="00F03FD0"/>
    <w:rsid w:val="00F3140B"/>
    <w:rsid w:val="00F31DCA"/>
    <w:rsid w:val="00F41FE2"/>
    <w:rsid w:val="00F50DA3"/>
    <w:rsid w:val="00F53C84"/>
    <w:rsid w:val="00F5757E"/>
    <w:rsid w:val="00F755E8"/>
    <w:rsid w:val="00F94424"/>
    <w:rsid w:val="00F94512"/>
    <w:rsid w:val="00FB63BB"/>
    <w:rsid w:val="00FC2B73"/>
    <w:rsid w:val="00FE1C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FrankRuehl"/>
        <w:sz w:val="28"/>
        <w:szCs w:val="28"/>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58D"/>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E158D"/>
    <w:pPr>
      <w:tabs>
        <w:tab w:val="center" w:pos="4153"/>
        <w:tab w:val="right" w:pos="8306"/>
      </w:tabs>
    </w:pPr>
  </w:style>
  <w:style w:type="paragraph" w:styleId="a5">
    <w:name w:val="Title"/>
    <w:basedOn w:val="a0"/>
    <w:qFormat/>
    <w:rsid w:val="00CE158D"/>
    <w:pPr>
      <w:widowControl w:val="0"/>
      <w:autoSpaceDE w:val="0"/>
      <w:autoSpaceDN w:val="0"/>
      <w:bidi w:val="0"/>
      <w:adjustRightInd w:val="0"/>
      <w:jc w:val="center"/>
    </w:pPr>
    <w:rPr>
      <w:rFonts w:ascii="Times New Roman" w:hAnsi="Times New Roman" w:cs="David"/>
      <w:bCs/>
      <w:sz w:val="20"/>
    </w:rPr>
  </w:style>
  <w:style w:type="table" w:styleId="a6">
    <w:name w:val="Table Grid"/>
    <w:basedOn w:val="a2"/>
    <w:uiPriority w:val="59"/>
    <w:rsid w:val="008B2C8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rsid w:val="00A872B6"/>
    <w:pPr>
      <w:tabs>
        <w:tab w:val="center" w:pos="4153"/>
        <w:tab w:val="right" w:pos="8306"/>
      </w:tabs>
    </w:pPr>
  </w:style>
  <w:style w:type="paragraph" w:styleId="a8">
    <w:name w:val="Balloon Text"/>
    <w:basedOn w:val="a0"/>
    <w:link w:val="a9"/>
    <w:rsid w:val="00421D56"/>
    <w:rPr>
      <w:rFonts w:ascii="Tahoma" w:hAnsi="Tahoma" w:cs="Tahoma"/>
      <w:sz w:val="16"/>
      <w:szCs w:val="16"/>
    </w:rPr>
  </w:style>
  <w:style w:type="character" w:customStyle="1" w:styleId="a9">
    <w:name w:val="טקסט בלונים תו"/>
    <w:link w:val="a8"/>
    <w:rsid w:val="00421D56"/>
    <w:rPr>
      <w:rFonts w:ascii="Tahoma" w:hAnsi="Tahoma" w:cs="Tahoma"/>
      <w:sz w:val="16"/>
      <w:szCs w:val="16"/>
    </w:rPr>
  </w:style>
  <w:style w:type="character" w:styleId="aa">
    <w:name w:val="annotation reference"/>
    <w:rsid w:val="002A501D"/>
    <w:rPr>
      <w:sz w:val="16"/>
      <w:szCs w:val="16"/>
    </w:rPr>
  </w:style>
  <w:style w:type="paragraph" w:styleId="ab">
    <w:name w:val="annotation text"/>
    <w:basedOn w:val="a0"/>
    <w:link w:val="ac"/>
    <w:rsid w:val="002A501D"/>
    <w:rPr>
      <w:sz w:val="20"/>
      <w:szCs w:val="20"/>
    </w:rPr>
  </w:style>
  <w:style w:type="character" w:customStyle="1" w:styleId="ac">
    <w:name w:val="טקסט הערה תו"/>
    <w:link w:val="ab"/>
    <w:rsid w:val="002A501D"/>
    <w:rPr>
      <w:rFonts w:ascii="Times New (W1)" w:hAnsi="Times New (W1)" w:cs="FrankRuehl"/>
    </w:rPr>
  </w:style>
  <w:style w:type="paragraph" w:styleId="ad">
    <w:name w:val="annotation subject"/>
    <w:basedOn w:val="ab"/>
    <w:next w:val="ab"/>
    <w:link w:val="ae"/>
    <w:rsid w:val="002A501D"/>
    <w:rPr>
      <w:b/>
      <w:bCs/>
    </w:rPr>
  </w:style>
  <w:style w:type="character" w:customStyle="1" w:styleId="ae">
    <w:name w:val="נושא הערה תו"/>
    <w:link w:val="ad"/>
    <w:rsid w:val="002A501D"/>
    <w:rPr>
      <w:rFonts w:ascii="Times New (W1)" w:hAnsi="Times New (W1)" w:cs="FrankRuehl"/>
      <w:b/>
      <w:bCs/>
    </w:rPr>
  </w:style>
  <w:style w:type="paragraph" w:styleId="a">
    <w:name w:val="List Paragraph"/>
    <w:basedOn w:val="a0"/>
    <w:uiPriority w:val="34"/>
    <w:qFormat/>
    <w:rsid w:val="00525380"/>
    <w:pPr>
      <w:numPr>
        <w:numId w:val="4"/>
      </w:numPr>
      <w:spacing w:after="240" w:line="360" w:lineRule="auto"/>
      <w:ind w:left="-57" w:firstLine="0"/>
      <w:jc w:val="both"/>
    </w:pPr>
  </w:style>
  <w:style w:type="character" w:styleId="Hyperlink">
    <w:name w:val="Hyperlink"/>
    <w:basedOn w:val="a1"/>
    <w:unhideWhenUsed/>
    <w:rsid w:val="001929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FrankRuehl"/>
        <w:sz w:val="28"/>
        <w:szCs w:val="28"/>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158D"/>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E158D"/>
    <w:pPr>
      <w:tabs>
        <w:tab w:val="center" w:pos="4153"/>
        <w:tab w:val="right" w:pos="8306"/>
      </w:tabs>
    </w:pPr>
  </w:style>
  <w:style w:type="paragraph" w:styleId="a5">
    <w:name w:val="Title"/>
    <w:basedOn w:val="a0"/>
    <w:qFormat/>
    <w:rsid w:val="00CE158D"/>
    <w:pPr>
      <w:widowControl w:val="0"/>
      <w:autoSpaceDE w:val="0"/>
      <w:autoSpaceDN w:val="0"/>
      <w:bidi w:val="0"/>
      <w:adjustRightInd w:val="0"/>
      <w:jc w:val="center"/>
    </w:pPr>
    <w:rPr>
      <w:rFonts w:ascii="Times New Roman" w:hAnsi="Times New Roman" w:cs="David"/>
      <w:bCs/>
      <w:sz w:val="20"/>
    </w:rPr>
  </w:style>
  <w:style w:type="table" w:styleId="a6">
    <w:name w:val="Table Grid"/>
    <w:basedOn w:val="a2"/>
    <w:uiPriority w:val="59"/>
    <w:rsid w:val="008B2C8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rsid w:val="00A872B6"/>
    <w:pPr>
      <w:tabs>
        <w:tab w:val="center" w:pos="4153"/>
        <w:tab w:val="right" w:pos="8306"/>
      </w:tabs>
    </w:pPr>
  </w:style>
  <w:style w:type="paragraph" w:styleId="a8">
    <w:name w:val="Balloon Text"/>
    <w:basedOn w:val="a0"/>
    <w:link w:val="a9"/>
    <w:rsid w:val="00421D56"/>
    <w:rPr>
      <w:rFonts w:ascii="Tahoma" w:hAnsi="Tahoma" w:cs="Tahoma"/>
      <w:sz w:val="16"/>
      <w:szCs w:val="16"/>
    </w:rPr>
  </w:style>
  <w:style w:type="character" w:customStyle="1" w:styleId="a9">
    <w:name w:val="טקסט בלונים תו"/>
    <w:link w:val="a8"/>
    <w:rsid w:val="00421D56"/>
    <w:rPr>
      <w:rFonts w:ascii="Tahoma" w:hAnsi="Tahoma" w:cs="Tahoma"/>
      <w:sz w:val="16"/>
      <w:szCs w:val="16"/>
    </w:rPr>
  </w:style>
  <w:style w:type="character" w:styleId="aa">
    <w:name w:val="annotation reference"/>
    <w:rsid w:val="002A501D"/>
    <w:rPr>
      <w:sz w:val="16"/>
      <w:szCs w:val="16"/>
    </w:rPr>
  </w:style>
  <w:style w:type="paragraph" w:styleId="ab">
    <w:name w:val="annotation text"/>
    <w:basedOn w:val="a0"/>
    <w:link w:val="ac"/>
    <w:rsid w:val="002A501D"/>
    <w:rPr>
      <w:sz w:val="20"/>
      <w:szCs w:val="20"/>
    </w:rPr>
  </w:style>
  <w:style w:type="character" w:customStyle="1" w:styleId="ac">
    <w:name w:val="טקסט הערה תו"/>
    <w:link w:val="ab"/>
    <w:rsid w:val="002A501D"/>
    <w:rPr>
      <w:rFonts w:ascii="Times New (W1)" w:hAnsi="Times New (W1)" w:cs="FrankRuehl"/>
    </w:rPr>
  </w:style>
  <w:style w:type="paragraph" w:styleId="ad">
    <w:name w:val="annotation subject"/>
    <w:basedOn w:val="ab"/>
    <w:next w:val="ab"/>
    <w:link w:val="ae"/>
    <w:rsid w:val="002A501D"/>
    <w:rPr>
      <w:b/>
      <w:bCs/>
    </w:rPr>
  </w:style>
  <w:style w:type="character" w:customStyle="1" w:styleId="ae">
    <w:name w:val="נושא הערה תו"/>
    <w:link w:val="ad"/>
    <w:rsid w:val="002A501D"/>
    <w:rPr>
      <w:rFonts w:ascii="Times New (W1)" w:hAnsi="Times New (W1)" w:cs="FrankRuehl"/>
      <w:b/>
      <w:bCs/>
    </w:rPr>
  </w:style>
  <w:style w:type="paragraph" w:styleId="a">
    <w:name w:val="List Paragraph"/>
    <w:basedOn w:val="a0"/>
    <w:uiPriority w:val="34"/>
    <w:qFormat/>
    <w:rsid w:val="00525380"/>
    <w:pPr>
      <w:numPr>
        <w:numId w:val="4"/>
      </w:numPr>
      <w:spacing w:after="240" w:line="360" w:lineRule="auto"/>
      <w:ind w:left="-57" w:firstLine="0"/>
      <w:jc w:val="both"/>
    </w:pPr>
  </w:style>
  <w:style w:type="character" w:styleId="Hyperlink">
    <w:name w:val="Hyperlink"/>
    <w:basedOn w:val="a1"/>
    <w:unhideWhenUsed/>
    <w:rsid w:val="00192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0868-F746-4A31-82BB-F52D949A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821.18.docx</Template>
  <TotalTime>0</TotalTime>
  <Pages>5</Pages>
  <Words>1448</Words>
  <Characters>7240</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vt:lpstr>
    </vt:vector>
  </TitlesOfParts>
  <Company>Ministry Of Justice</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Israel Vais</dc:creator>
  <cp:lastModifiedBy>Ilan Roiter</cp:lastModifiedBy>
  <cp:revision>2</cp:revision>
  <cp:lastPrinted>2019-01-30T12:06:00Z</cp:lastPrinted>
  <dcterms:created xsi:type="dcterms:W3CDTF">2019-01-30T12:38:00Z</dcterms:created>
  <dcterms:modified xsi:type="dcterms:W3CDTF">2019-01-30T12:38:00Z</dcterms:modified>
</cp:coreProperties>
</file>