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B9" w:rsidRPr="00080E32" w:rsidRDefault="009C6C95" w:rsidP="00A526EA">
      <w:pPr>
        <w:bidi/>
        <w:spacing w:line="360" w:lineRule="auto"/>
        <w:jc w:val="center"/>
        <w:rPr>
          <w:rFonts w:cs="David"/>
          <w:b/>
          <w:bCs/>
          <w:color w:val="0000FF"/>
          <w:kern w:val="52"/>
          <w:sz w:val="40"/>
          <w:szCs w:val="40"/>
          <w:rtl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5133340</wp:posOffset>
            </wp:positionH>
            <wp:positionV relativeFrom="paragraph">
              <wp:posOffset>-630555</wp:posOffset>
            </wp:positionV>
            <wp:extent cx="962025" cy="778782"/>
            <wp:effectExtent l="133350" t="190500" r="66675" b="173990"/>
            <wp:wrapNone/>
            <wp:docPr id="7" name="תמונה 7" descr="http://images.nana10.co.il/upload/mediastock/img/15/0/44/44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nana10.co.il/upload/mediastock/img/15/0/44/440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6283">
                      <a:off x="0" y="0"/>
                      <a:ext cx="962025" cy="7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17D7" w:rsidRPr="00080E32" w:rsidRDefault="00A617D7" w:rsidP="003612B9">
      <w:pPr>
        <w:bidi/>
        <w:spacing w:line="360" w:lineRule="auto"/>
        <w:jc w:val="center"/>
        <w:rPr>
          <w:rFonts w:cs="David"/>
          <w:b/>
          <w:bCs/>
          <w:color w:val="0000FF"/>
          <w:kern w:val="52"/>
          <w:sz w:val="40"/>
          <w:szCs w:val="40"/>
          <w:rtl/>
        </w:rPr>
      </w:pPr>
      <w:r w:rsidRPr="00080E32">
        <w:rPr>
          <w:rFonts w:cs="David" w:hint="cs"/>
          <w:b/>
          <w:bCs/>
          <w:color w:val="0000FF"/>
          <w:kern w:val="52"/>
          <w:sz w:val="40"/>
          <w:szCs w:val="40"/>
          <w:rtl/>
        </w:rPr>
        <w:t>סרטן ה</w:t>
      </w:r>
      <w:r w:rsidR="00344F5F" w:rsidRPr="00080E32">
        <w:rPr>
          <w:rFonts w:cs="David" w:hint="cs"/>
          <w:b/>
          <w:bCs/>
          <w:color w:val="0000FF"/>
          <w:kern w:val="52"/>
          <w:sz w:val="40"/>
          <w:szCs w:val="40"/>
          <w:rtl/>
        </w:rPr>
        <w:t>שד</w:t>
      </w:r>
      <w:r w:rsidR="00465D52" w:rsidRPr="00080E32">
        <w:rPr>
          <w:rFonts w:cs="David" w:hint="cs"/>
          <w:b/>
          <w:bCs/>
          <w:color w:val="0000FF"/>
          <w:kern w:val="52"/>
          <w:sz w:val="40"/>
          <w:szCs w:val="40"/>
          <w:rtl/>
        </w:rPr>
        <w:t xml:space="preserve"> ב</w:t>
      </w:r>
      <w:r w:rsidR="00A526EA" w:rsidRPr="00080E32">
        <w:rPr>
          <w:rFonts w:cs="David" w:hint="cs"/>
          <w:b/>
          <w:bCs/>
          <w:color w:val="0000FF"/>
          <w:kern w:val="52"/>
          <w:sz w:val="40"/>
          <w:szCs w:val="40"/>
          <w:rtl/>
        </w:rPr>
        <w:t>נשים ב</w:t>
      </w:r>
      <w:r w:rsidR="00465D52" w:rsidRPr="00080E32">
        <w:rPr>
          <w:rFonts w:cs="David" w:hint="cs"/>
          <w:b/>
          <w:bCs/>
          <w:color w:val="0000FF"/>
          <w:kern w:val="52"/>
          <w:sz w:val="40"/>
          <w:szCs w:val="40"/>
          <w:rtl/>
        </w:rPr>
        <w:t>ישראל</w:t>
      </w:r>
    </w:p>
    <w:p w:rsidR="00A617D7" w:rsidRPr="00EC2CAF" w:rsidRDefault="00A617D7" w:rsidP="002B2B60">
      <w:pPr>
        <w:bidi/>
        <w:spacing w:line="360" w:lineRule="auto"/>
        <w:jc w:val="center"/>
        <w:rPr>
          <w:rFonts w:cs="David"/>
          <w:sz w:val="28"/>
          <w:szCs w:val="28"/>
          <w:rtl/>
        </w:rPr>
      </w:pPr>
      <w:r w:rsidRPr="00EC2CAF">
        <w:rPr>
          <w:rFonts w:cs="David" w:hint="cs"/>
          <w:sz w:val="28"/>
          <w:szCs w:val="28"/>
          <w:rtl/>
        </w:rPr>
        <w:t xml:space="preserve">עדכון נתוני </w:t>
      </w:r>
      <w:r w:rsidR="00276994">
        <w:rPr>
          <w:rFonts w:cs="David" w:hint="cs"/>
          <w:sz w:val="28"/>
          <w:szCs w:val="28"/>
          <w:rtl/>
        </w:rPr>
        <w:t>היארעות</w:t>
      </w:r>
      <w:r w:rsidRPr="00EC2CAF">
        <w:rPr>
          <w:rFonts w:cs="David" w:hint="cs"/>
          <w:sz w:val="28"/>
          <w:szCs w:val="28"/>
          <w:rtl/>
        </w:rPr>
        <w:t xml:space="preserve"> ותמותה, 201</w:t>
      </w:r>
      <w:r w:rsidR="002B2B60">
        <w:rPr>
          <w:rFonts w:cs="David" w:hint="cs"/>
          <w:sz w:val="28"/>
          <w:szCs w:val="28"/>
          <w:rtl/>
        </w:rPr>
        <w:t>8</w:t>
      </w:r>
    </w:p>
    <w:p w:rsidR="00A617D7" w:rsidRDefault="00A617D7" w:rsidP="00A617D7">
      <w:pPr>
        <w:bidi/>
        <w:spacing w:line="360" w:lineRule="auto"/>
        <w:jc w:val="center"/>
        <w:rPr>
          <w:rFonts w:cs="David"/>
          <w:sz w:val="20"/>
          <w:szCs w:val="20"/>
          <w:rtl/>
        </w:rPr>
      </w:pPr>
      <w:r w:rsidRPr="00EC2CAF">
        <w:rPr>
          <w:rFonts w:cs="David" w:hint="cs"/>
          <w:sz w:val="20"/>
          <w:szCs w:val="20"/>
          <w:rtl/>
        </w:rPr>
        <w:t>הרישום הלאומי לסרטן, המרכז הלאומי לבקרת מחלות, משרד הבריאות</w:t>
      </w:r>
      <w:r w:rsidR="00853C88">
        <w:rPr>
          <w:rStyle w:val="a5"/>
          <w:rFonts w:cs="David"/>
          <w:sz w:val="20"/>
          <w:szCs w:val="20"/>
          <w:rtl/>
        </w:rPr>
        <w:footnoteReference w:id="1"/>
      </w:r>
    </w:p>
    <w:p w:rsidR="00EC2CAF" w:rsidRPr="00EC2CAF" w:rsidRDefault="00EC2CAF" w:rsidP="00EC2CAF">
      <w:pPr>
        <w:bidi/>
        <w:spacing w:line="360" w:lineRule="auto"/>
        <w:jc w:val="center"/>
        <w:rPr>
          <w:rFonts w:cs="David"/>
          <w:sz w:val="20"/>
          <w:szCs w:val="20"/>
          <w:rtl/>
        </w:rPr>
      </w:pPr>
    </w:p>
    <w:p w:rsidR="00A617D7" w:rsidRPr="0061780A" w:rsidRDefault="0061780A" w:rsidP="00344F5F">
      <w:pPr>
        <w:bidi/>
        <w:spacing w:line="360" w:lineRule="auto"/>
        <w:jc w:val="both"/>
        <w:rPr>
          <w:rFonts w:cs="David"/>
          <w:b/>
          <w:bCs/>
          <w:color w:val="0000FF"/>
          <w:sz w:val="28"/>
          <w:szCs w:val="28"/>
          <w:rtl/>
        </w:rPr>
      </w:pPr>
      <w:r w:rsidRPr="0061780A">
        <w:rPr>
          <w:rFonts w:cs="David" w:hint="cs"/>
          <w:b/>
          <w:bCs/>
          <w:color w:val="0000FF"/>
          <w:sz w:val="28"/>
          <w:szCs w:val="28"/>
        </w:rPr>
        <w:sym w:font="Wingdings 3" w:char="F074"/>
      </w:r>
      <w:r w:rsidRPr="0061780A">
        <w:rPr>
          <w:rFonts w:cs="David" w:hint="cs"/>
          <w:b/>
          <w:bCs/>
          <w:color w:val="0000FF"/>
          <w:sz w:val="28"/>
          <w:szCs w:val="28"/>
          <w:rtl/>
        </w:rPr>
        <w:t xml:space="preserve"> </w:t>
      </w:r>
      <w:r w:rsidR="00A617D7" w:rsidRPr="00080E32">
        <w:rPr>
          <w:rFonts w:cs="David" w:hint="cs"/>
          <w:b/>
          <w:bCs/>
          <w:color w:val="0000FF"/>
          <w:kern w:val="28"/>
          <w:sz w:val="28"/>
          <w:szCs w:val="28"/>
          <w:rtl/>
        </w:rPr>
        <w:t xml:space="preserve">שיעורי ההיארעות של סרטן </w:t>
      </w:r>
      <w:r w:rsidR="001C5BD4" w:rsidRPr="00080E32">
        <w:rPr>
          <w:rFonts w:cs="David" w:hint="cs"/>
          <w:b/>
          <w:bCs/>
          <w:color w:val="0000FF"/>
          <w:kern w:val="28"/>
          <w:sz w:val="28"/>
          <w:szCs w:val="28"/>
          <w:rtl/>
        </w:rPr>
        <w:t xml:space="preserve">חודרני </w:t>
      </w:r>
      <w:r w:rsidR="001C5BD4" w:rsidRPr="00080E32">
        <w:rPr>
          <w:rFonts w:cs="David"/>
          <w:b/>
          <w:bCs/>
          <w:color w:val="0000FF"/>
          <w:kern w:val="28"/>
          <w:sz w:val="28"/>
          <w:szCs w:val="28"/>
        </w:rPr>
        <w:t>(invasive)</w:t>
      </w:r>
      <w:r w:rsidR="001C5BD4" w:rsidRPr="00080E32">
        <w:rPr>
          <w:rFonts w:cs="David" w:hint="cs"/>
          <w:b/>
          <w:bCs/>
          <w:color w:val="0000FF"/>
          <w:kern w:val="28"/>
          <w:sz w:val="28"/>
          <w:szCs w:val="28"/>
          <w:rtl/>
        </w:rPr>
        <w:t xml:space="preserve"> של </w:t>
      </w:r>
      <w:r w:rsidR="00A617D7" w:rsidRPr="00080E32">
        <w:rPr>
          <w:rFonts w:cs="David" w:hint="cs"/>
          <w:b/>
          <w:bCs/>
          <w:color w:val="0000FF"/>
          <w:kern w:val="28"/>
          <w:sz w:val="28"/>
          <w:szCs w:val="28"/>
          <w:rtl/>
        </w:rPr>
        <w:t>ה</w:t>
      </w:r>
      <w:r w:rsidR="00344F5F" w:rsidRPr="00080E32">
        <w:rPr>
          <w:rFonts w:cs="David" w:hint="cs"/>
          <w:b/>
          <w:bCs/>
          <w:color w:val="0000FF"/>
          <w:kern w:val="28"/>
          <w:sz w:val="28"/>
          <w:szCs w:val="28"/>
          <w:rtl/>
        </w:rPr>
        <w:t>שד ו</w:t>
      </w:r>
      <w:r w:rsidR="00465D52" w:rsidRPr="00080E32">
        <w:rPr>
          <w:rFonts w:cs="David" w:hint="cs"/>
          <w:b/>
          <w:bCs/>
          <w:color w:val="0000FF"/>
          <w:kern w:val="28"/>
          <w:sz w:val="28"/>
          <w:szCs w:val="28"/>
          <w:rtl/>
        </w:rPr>
        <w:t>מגמות עיתיות</w:t>
      </w:r>
    </w:p>
    <w:p w:rsidR="009A2FE2" w:rsidRPr="00853C88" w:rsidRDefault="003612B9" w:rsidP="00853C88">
      <w:pPr>
        <w:bidi/>
        <w:spacing w:line="360" w:lineRule="auto"/>
        <w:jc w:val="both"/>
        <w:rPr>
          <w:rFonts w:cs="David"/>
          <w:rtl/>
        </w:rPr>
      </w:pPr>
      <w:r w:rsidRPr="00853C88">
        <w:rPr>
          <w:rFonts w:cs="David" w:hint="cs"/>
          <w:rtl/>
        </w:rPr>
        <w:t xml:space="preserve">בעולם, </w:t>
      </w:r>
      <w:r w:rsidR="00344F5F" w:rsidRPr="00853C88">
        <w:rPr>
          <w:rFonts w:cs="David" w:hint="cs"/>
          <w:rtl/>
        </w:rPr>
        <w:t xml:space="preserve">סרטן השד </w:t>
      </w:r>
      <w:r w:rsidR="00D64DFD" w:rsidRPr="00853C88">
        <w:rPr>
          <w:rFonts w:cs="David" w:hint="cs"/>
          <w:rtl/>
        </w:rPr>
        <w:t>הוא הסרטן השכיח ביותר ב</w:t>
      </w:r>
      <w:r w:rsidR="00A526EA" w:rsidRPr="00853C88">
        <w:rPr>
          <w:rFonts w:cs="David" w:hint="cs"/>
          <w:rtl/>
        </w:rPr>
        <w:t>נשים</w:t>
      </w:r>
      <w:r w:rsidR="00853C88" w:rsidRPr="00853C88">
        <w:rPr>
          <w:rFonts w:cs="David" w:hint="cs"/>
          <w:rtl/>
        </w:rPr>
        <w:t>; למרות ש</w:t>
      </w:r>
      <w:r w:rsidR="009A2FE2" w:rsidRPr="00853C88">
        <w:rPr>
          <w:rFonts w:cs="David" w:hint="cs"/>
          <w:rtl/>
        </w:rPr>
        <w:t>סרטן השד יכול להתגלות גם בגברים, עיקר התחלואה היא בנשים (ביחס של כ-1:100) ו</w:t>
      </w:r>
      <w:r w:rsidR="000F7C12" w:rsidRPr="00853C88">
        <w:rPr>
          <w:rFonts w:cs="David" w:hint="cs"/>
          <w:rtl/>
        </w:rPr>
        <w:t xml:space="preserve">בעדכון זה </w:t>
      </w:r>
      <w:r w:rsidR="00853C88" w:rsidRPr="00853C88">
        <w:rPr>
          <w:rFonts w:cs="David" w:hint="cs"/>
          <w:rtl/>
        </w:rPr>
        <w:t xml:space="preserve">נתייחס </w:t>
      </w:r>
      <w:r w:rsidR="009A2FE2" w:rsidRPr="00853C88">
        <w:rPr>
          <w:rFonts w:cs="David" w:hint="cs"/>
          <w:rtl/>
        </w:rPr>
        <w:t>לתמונת התחלואה בנשים בלבד.</w:t>
      </w:r>
    </w:p>
    <w:p w:rsidR="00A617D7" w:rsidRPr="00853C88" w:rsidRDefault="0091603F" w:rsidP="001671B4">
      <w:pPr>
        <w:bidi/>
        <w:spacing w:line="360" w:lineRule="auto"/>
        <w:jc w:val="both"/>
        <w:rPr>
          <w:rFonts w:cs="David"/>
          <w:rtl/>
        </w:rPr>
      </w:pPr>
      <w:r w:rsidRPr="00853C88">
        <w:rPr>
          <w:rFonts w:cs="David" w:hint="cs"/>
          <w:rtl/>
        </w:rPr>
        <w:t xml:space="preserve">גם בישראל </w:t>
      </w:r>
      <w:r w:rsidR="00B80FF1" w:rsidRPr="00853C88">
        <w:rPr>
          <w:rFonts w:cs="David" w:hint="cs"/>
          <w:rtl/>
        </w:rPr>
        <w:t xml:space="preserve">סרטן השד </w:t>
      </w:r>
      <w:r w:rsidRPr="00853C88">
        <w:rPr>
          <w:rFonts w:cs="David" w:hint="cs"/>
          <w:rtl/>
        </w:rPr>
        <w:t>הוא הסרטן השכיח בנשים. בשנת 201</w:t>
      </w:r>
      <w:r w:rsidR="002B2B60" w:rsidRPr="00853C88">
        <w:rPr>
          <w:rFonts w:cs="David" w:hint="cs"/>
          <w:rtl/>
        </w:rPr>
        <w:t>5</w:t>
      </w:r>
      <w:r w:rsidRPr="00853C88">
        <w:rPr>
          <w:rFonts w:cs="David" w:hint="cs"/>
          <w:rtl/>
        </w:rPr>
        <w:t xml:space="preserve"> </w:t>
      </w:r>
      <w:r w:rsidR="00B80FF1" w:rsidRPr="00853C88">
        <w:rPr>
          <w:rFonts w:cs="David" w:hint="cs"/>
          <w:rtl/>
        </w:rPr>
        <w:t xml:space="preserve">היווה </w:t>
      </w:r>
      <w:r w:rsidRPr="00853C88">
        <w:rPr>
          <w:rFonts w:cs="David" w:hint="cs"/>
          <w:rtl/>
        </w:rPr>
        <w:t xml:space="preserve">סרטן </w:t>
      </w:r>
      <w:r w:rsidR="001671B4" w:rsidRPr="00853C88">
        <w:rPr>
          <w:rFonts w:cs="David" w:hint="cs"/>
          <w:rtl/>
        </w:rPr>
        <w:t xml:space="preserve">חודרני של </w:t>
      </w:r>
      <w:r w:rsidRPr="00853C88">
        <w:rPr>
          <w:rFonts w:cs="David" w:hint="cs"/>
          <w:rtl/>
        </w:rPr>
        <w:t>השד כשליש</w:t>
      </w:r>
      <w:r w:rsidR="00B80FF1" w:rsidRPr="00853C88">
        <w:rPr>
          <w:rFonts w:cs="David" w:hint="cs"/>
          <w:rtl/>
        </w:rPr>
        <w:t xml:space="preserve"> מכלל הגידולים החודרניים בנשים </w:t>
      </w:r>
      <w:r w:rsidRPr="00853C88">
        <w:rPr>
          <w:rFonts w:cs="David" w:hint="cs"/>
          <w:rtl/>
        </w:rPr>
        <w:t xml:space="preserve">(32.4% 33.3% </w:t>
      </w:r>
      <w:r w:rsidR="002B2B60" w:rsidRPr="00853C88">
        <w:rPr>
          <w:rFonts w:cs="David" w:hint="cs"/>
          <w:rtl/>
        </w:rPr>
        <w:t>ו-</w:t>
      </w:r>
      <w:r w:rsidR="001671B4" w:rsidRPr="00853C88">
        <w:rPr>
          <w:rFonts w:cs="David" w:hint="cs"/>
          <w:rtl/>
        </w:rPr>
        <w:t>32.2%</w:t>
      </w:r>
      <w:r w:rsidR="002B2B60" w:rsidRPr="00853C88">
        <w:rPr>
          <w:rFonts w:cs="David" w:hint="cs"/>
          <w:rtl/>
        </w:rPr>
        <w:t xml:space="preserve"> </w:t>
      </w:r>
      <w:r w:rsidRPr="00853C88">
        <w:rPr>
          <w:rFonts w:cs="David" w:hint="cs"/>
          <w:rtl/>
        </w:rPr>
        <w:t xml:space="preserve">מכלל האבחנות החדשות </w:t>
      </w:r>
      <w:r w:rsidR="001671B4" w:rsidRPr="00853C88">
        <w:rPr>
          <w:rFonts w:cs="David" w:hint="cs"/>
          <w:rtl/>
        </w:rPr>
        <w:t xml:space="preserve">של סרטן </w:t>
      </w:r>
      <w:r w:rsidRPr="00853C88">
        <w:rPr>
          <w:rFonts w:cs="David" w:hint="cs"/>
          <w:rtl/>
        </w:rPr>
        <w:t>בנשים יהודיות</w:t>
      </w:r>
      <w:r w:rsidR="002B2B60" w:rsidRPr="00853C88">
        <w:rPr>
          <w:rFonts w:cs="David" w:hint="cs"/>
          <w:rtl/>
        </w:rPr>
        <w:t xml:space="preserve">, </w:t>
      </w:r>
      <w:r w:rsidRPr="00853C88">
        <w:rPr>
          <w:rFonts w:cs="David" w:hint="cs"/>
          <w:rtl/>
        </w:rPr>
        <w:t>ערביות</w:t>
      </w:r>
      <w:r w:rsidR="002B2B60" w:rsidRPr="00853C88">
        <w:rPr>
          <w:rFonts w:cs="David" w:hint="cs"/>
          <w:rtl/>
        </w:rPr>
        <w:t xml:space="preserve"> ו"אחרות</w:t>
      </w:r>
      <w:r w:rsidR="002B2B60" w:rsidRPr="00853C88">
        <w:rPr>
          <w:rStyle w:val="a5"/>
          <w:rFonts w:cs="David"/>
          <w:rtl/>
        </w:rPr>
        <w:footnoteReference w:id="2"/>
      </w:r>
      <w:r w:rsidR="002B2B60" w:rsidRPr="00853C88">
        <w:rPr>
          <w:rFonts w:cs="David" w:hint="cs"/>
          <w:rtl/>
        </w:rPr>
        <w:t>",</w:t>
      </w:r>
      <w:r w:rsidRPr="00853C88">
        <w:rPr>
          <w:rFonts w:cs="David" w:hint="cs"/>
          <w:rtl/>
        </w:rPr>
        <w:t xml:space="preserve"> בהתאמה)</w:t>
      </w:r>
      <w:r w:rsidR="00B80FF1" w:rsidRPr="00853C88">
        <w:rPr>
          <w:rFonts w:cs="David" w:hint="cs"/>
          <w:rtl/>
        </w:rPr>
        <w:t xml:space="preserve">. בסה"כ </w:t>
      </w:r>
      <w:r w:rsidR="00A617D7" w:rsidRPr="00853C88">
        <w:rPr>
          <w:rFonts w:cs="David"/>
          <w:rtl/>
        </w:rPr>
        <w:t>אובחנו</w:t>
      </w:r>
      <w:r w:rsidR="00B80FF1" w:rsidRPr="00853C88">
        <w:rPr>
          <w:rFonts w:cs="David" w:hint="cs"/>
          <w:rtl/>
        </w:rPr>
        <w:t xml:space="preserve"> בשנה זו</w:t>
      </w:r>
      <w:r w:rsidR="000B7B65" w:rsidRPr="00853C88">
        <w:rPr>
          <w:rFonts w:cs="David" w:hint="cs"/>
          <w:rtl/>
        </w:rPr>
        <w:t xml:space="preserve"> </w:t>
      </w:r>
      <w:r w:rsidR="00DD488F" w:rsidRPr="00853C88">
        <w:rPr>
          <w:rFonts w:cs="David" w:hint="cs"/>
          <w:b/>
          <w:bCs/>
          <w:rtl/>
        </w:rPr>
        <w:t>4,</w:t>
      </w:r>
      <w:r w:rsidR="001671B4" w:rsidRPr="00853C88">
        <w:rPr>
          <w:rFonts w:cs="David" w:hint="cs"/>
          <w:b/>
          <w:bCs/>
          <w:rtl/>
        </w:rPr>
        <w:t>846</w:t>
      </w:r>
      <w:r w:rsidR="000A691C" w:rsidRPr="00853C88">
        <w:rPr>
          <w:rFonts w:cs="David" w:hint="cs"/>
          <w:rtl/>
        </w:rPr>
        <w:t xml:space="preserve"> </w:t>
      </w:r>
      <w:r w:rsidR="00A617D7" w:rsidRPr="00853C88">
        <w:rPr>
          <w:rFonts w:cs="David"/>
          <w:rtl/>
        </w:rPr>
        <w:t>חול</w:t>
      </w:r>
      <w:r w:rsidR="00236AE3" w:rsidRPr="00853C88">
        <w:rPr>
          <w:rFonts w:cs="David" w:hint="cs"/>
          <w:rtl/>
        </w:rPr>
        <w:t>ות</w:t>
      </w:r>
      <w:r w:rsidR="00A617D7" w:rsidRPr="00853C88">
        <w:rPr>
          <w:rFonts w:cs="David" w:hint="cs"/>
          <w:rtl/>
        </w:rPr>
        <w:t xml:space="preserve"> חדש</w:t>
      </w:r>
      <w:r w:rsidR="00236AE3" w:rsidRPr="00853C88">
        <w:rPr>
          <w:rFonts w:cs="David" w:hint="cs"/>
          <w:rtl/>
        </w:rPr>
        <w:t>ות</w:t>
      </w:r>
      <w:r w:rsidR="00A617D7" w:rsidRPr="00853C88">
        <w:rPr>
          <w:rFonts w:cs="David" w:hint="cs"/>
          <w:rtl/>
        </w:rPr>
        <w:t xml:space="preserve"> עם סרטן</w:t>
      </w:r>
      <w:r w:rsidR="00A617D7" w:rsidRPr="00853C88">
        <w:rPr>
          <w:rFonts w:cs="David" w:hint="cs"/>
          <w:b/>
          <w:bCs/>
          <w:rtl/>
        </w:rPr>
        <w:t xml:space="preserve"> חודרני</w:t>
      </w:r>
      <w:r w:rsidR="00A617D7" w:rsidRPr="00853C88">
        <w:rPr>
          <w:rFonts w:cs="David" w:hint="cs"/>
          <w:rtl/>
        </w:rPr>
        <w:t xml:space="preserve"> של ה</w:t>
      </w:r>
      <w:r w:rsidR="00236AE3" w:rsidRPr="00853C88">
        <w:rPr>
          <w:rFonts w:cs="David" w:hint="cs"/>
          <w:rtl/>
        </w:rPr>
        <w:t>שד</w:t>
      </w:r>
      <w:r w:rsidR="00A617D7" w:rsidRPr="00853C88">
        <w:rPr>
          <w:rFonts w:cs="David" w:hint="cs"/>
          <w:rtl/>
        </w:rPr>
        <w:t>, מה</w:t>
      </w:r>
      <w:r w:rsidR="00236AE3" w:rsidRPr="00853C88">
        <w:rPr>
          <w:rFonts w:cs="David" w:hint="cs"/>
          <w:rtl/>
        </w:rPr>
        <w:t>ן</w:t>
      </w:r>
      <w:r w:rsidR="00DD488F" w:rsidRPr="00853C88">
        <w:rPr>
          <w:rFonts w:cs="David" w:hint="cs"/>
          <w:rtl/>
        </w:rPr>
        <w:t xml:space="preserve"> </w:t>
      </w:r>
      <w:r w:rsidR="001671B4" w:rsidRPr="00853C88">
        <w:rPr>
          <w:rFonts w:cs="David" w:hint="cs"/>
          <w:rtl/>
        </w:rPr>
        <w:t>4</w:t>
      </w:r>
      <w:r w:rsidR="00C54F2F" w:rsidRPr="00853C88">
        <w:rPr>
          <w:rFonts w:cs="David" w:hint="cs"/>
          <w:rtl/>
        </w:rPr>
        <w:t>,</w:t>
      </w:r>
      <w:r w:rsidR="001671B4" w:rsidRPr="00853C88">
        <w:rPr>
          <w:rFonts w:cs="David" w:hint="cs"/>
          <w:rtl/>
        </w:rPr>
        <w:t>140</w:t>
      </w:r>
      <w:r w:rsidR="00DD488F" w:rsidRPr="00853C88">
        <w:rPr>
          <w:rFonts w:cs="David" w:hint="cs"/>
          <w:rtl/>
        </w:rPr>
        <w:t xml:space="preserve"> יהודיות</w:t>
      </w:r>
      <w:r w:rsidR="000B7B65" w:rsidRPr="00853C88">
        <w:rPr>
          <w:rFonts w:cs="David" w:hint="cs"/>
          <w:rtl/>
        </w:rPr>
        <w:t xml:space="preserve"> (8</w:t>
      </w:r>
      <w:r w:rsidR="001671B4" w:rsidRPr="00853C88">
        <w:rPr>
          <w:rFonts w:cs="David" w:hint="cs"/>
          <w:rtl/>
        </w:rPr>
        <w:t>5</w:t>
      </w:r>
      <w:r w:rsidR="000B7B65" w:rsidRPr="00853C88">
        <w:rPr>
          <w:rFonts w:cs="David" w:hint="cs"/>
          <w:rtl/>
        </w:rPr>
        <w:t>%)</w:t>
      </w:r>
      <w:r w:rsidR="00A617D7" w:rsidRPr="00853C88">
        <w:rPr>
          <w:rFonts w:cs="David" w:hint="cs"/>
          <w:rtl/>
        </w:rPr>
        <w:t xml:space="preserve">, </w:t>
      </w:r>
      <w:r w:rsidR="001671B4" w:rsidRPr="00853C88">
        <w:rPr>
          <w:rFonts w:cs="David" w:hint="cs"/>
          <w:rtl/>
        </w:rPr>
        <w:t>470</w:t>
      </w:r>
      <w:r w:rsidR="000B7B65" w:rsidRPr="00853C88">
        <w:rPr>
          <w:rFonts w:cs="David" w:hint="cs"/>
          <w:rtl/>
        </w:rPr>
        <w:t xml:space="preserve"> </w:t>
      </w:r>
      <w:r w:rsidR="00A617D7" w:rsidRPr="00853C88">
        <w:rPr>
          <w:rFonts w:cs="David" w:hint="cs"/>
          <w:rtl/>
        </w:rPr>
        <w:t>ערבי</w:t>
      </w:r>
      <w:r w:rsidR="00236AE3" w:rsidRPr="00853C88">
        <w:rPr>
          <w:rFonts w:cs="David" w:hint="cs"/>
          <w:rtl/>
        </w:rPr>
        <w:t>ות</w:t>
      </w:r>
      <w:r w:rsidR="00665A6A" w:rsidRPr="00853C88">
        <w:rPr>
          <w:rFonts w:cs="David" w:hint="cs"/>
          <w:rtl/>
        </w:rPr>
        <w:t xml:space="preserve"> (</w:t>
      </w:r>
      <w:r w:rsidR="001671B4" w:rsidRPr="00853C88">
        <w:rPr>
          <w:rFonts w:cs="David" w:hint="cs"/>
          <w:rtl/>
        </w:rPr>
        <w:t>10</w:t>
      </w:r>
      <w:r w:rsidR="00940491" w:rsidRPr="00853C88">
        <w:rPr>
          <w:rFonts w:cs="David" w:hint="cs"/>
          <w:rtl/>
        </w:rPr>
        <w:t>%</w:t>
      </w:r>
      <w:r w:rsidR="00665A6A" w:rsidRPr="00853C88">
        <w:rPr>
          <w:rFonts w:cs="David" w:hint="cs"/>
          <w:rtl/>
        </w:rPr>
        <w:t>)</w:t>
      </w:r>
      <w:r w:rsidR="00A617D7" w:rsidRPr="00853C88">
        <w:rPr>
          <w:rFonts w:cs="David" w:hint="cs"/>
          <w:rtl/>
        </w:rPr>
        <w:t xml:space="preserve"> ו-</w:t>
      </w:r>
      <w:r w:rsidR="00DD488F" w:rsidRPr="00853C88">
        <w:rPr>
          <w:rFonts w:cs="David" w:hint="cs"/>
          <w:rtl/>
        </w:rPr>
        <w:t>2</w:t>
      </w:r>
      <w:r w:rsidR="00C54F2F" w:rsidRPr="00853C88">
        <w:rPr>
          <w:rFonts w:cs="David" w:hint="cs"/>
          <w:rtl/>
        </w:rPr>
        <w:t>3</w:t>
      </w:r>
      <w:r w:rsidR="001671B4" w:rsidRPr="00853C88">
        <w:rPr>
          <w:rFonts w:cs="David" w:hint="cs"/>
          <w:rtl/>
        </w:rPr>
        <w:t>6</w:t>
      </w:r>
      <w:r w:rsidR="008917BE" w:rsidRPr="00853C88">
        <w:rPr>
          <w:rFonts w:cs="David" w:hint="cs"/>
          <w:rtl/>
        </w:rPr>
        <w:t xml:space="preserve"> </w:t>
      </w:r>
      <w:r w:rsidR="00A617D7" w:rsidRPr="00853C88">
        <w:rPr>
          <w:rFonts w:cs="David" w:hint="cs"/>
          <w:rtl/>
        </w:rPr>
        <w:t>חול</w:t>
      </w:r>
      <w:r w:rsidR="00236AE3" w:rsidRPr="00853C88">
        <w:rPr>
          <w:rFonts w:cs="David" w:hint="cs"/>
          <w:rtl/>
        </w:rPr>
        <w:t>ות</w:t>
      </w:r>
      <w:r w:rsidR="00A617D7" w:rsidRPr="00853C88">
        <w:rPr>
          <w:rFonts w:cs="David" w:hint="cs"/>
          <w:rtl/>
        </w:rPr>
        <w:t xml:space="preserve"> "אחר</w:t>
      </w:r>
      <w:r w:rsidR="00236AE3" w:rsidRPr="00853C88">
        <w:rPr>
          <w:rFonts w:cs="David" w:hint="cs"/>
          <w:rtl/>
        </w:rPr>
        <w:t>ות</w:t>
      </w:r>
      <w:r w:rsidR="00C26FAE" w:rsidRPr="00853C88">
        <w:rPr>
          <w:rFonts w:cs="David" w:hint="cs"/>
          <w:rtl/>
        </w:rPr>
        <w:t xml:space="preserve">" </w:t>
      </w:r>
      <w:r w:rsidR="00665A6A" w:rsidRPr="00853C88">
        <w:rPr>
          <w:rFonts w:cs="David" w:hint="cs"/>
          <w:rtl/>
        </w:rPr>
        <w:t>(</w:t>
      </w:r>
      <w:r w:rsidR="00940491" w:rsidRPr="00853C88">
        <w:rPr>
          <w:rFonts w:cs="David" w:hint="cs"/>
          <w:rtl/>
        </w:rPr>
        <w:t>5%</w:t>
      </w:r>
      <w:r w:rsidR="00665A6A" w:rsidRPr="00853C88">
        <w:rPr>
          <w:rFonts w:cs="David" w:hint="cs"/>
          <w:rtl/>
        </w:rPr>
        <w:t>)</w:t>
      </w:r>
      <w:r w:rsidR="00A617D7" w:rsidRPr="00853C88">
        <w:rPr>
          <w:rFonts w:cs="David" w:hint="cs"/>
          <w:rtl/>
        </w:rPr>
        <w:t>.</w:t>
      </w:r>
      <w:r w:rsidR="001F5EC4" w:rsidRPr="00853C88">
        <w:rPr>
          <w:rFonts w:cs="David" w:hint="cs"/>
          <w:rtl/>
        </w:rPr>
        <w:t xml:space="preserve"> </w:t>
      </w:r>
      <w:r w:rsidR="005E776E" w:rsidRPr="00853C88">
        <w:rPr>
          <w:rFonts w:cs="David" w:hint="cs"/>
          <w:rtl/>
        </w:rPr>
        <w:t xml:space="preserve">לפי נתוני הלשכה המרכזית לסטטיסטיקה, </w:t>
      </w:r>
      <w:r w:rsidR="00EF3842" w:rsidRPr="00853C88">
        <w:rPr>
          <w:rFonts w:cs="David" w:hint="cs"/>
          <w:rtl/>
        </w:rPr>
        <w:t xml:space="preserve">התפלגות </w:t>
      </w:r>
      <w:r w:rsidR="00276994" w:rsidRPr="00853C88">
        <w:rPr>
          <w:rFonts w:cs="David" w:hint="cs"/>
          <w:rtl/>
        </w:rPr>
        <w:t xml:space="preserve">האוכלוסייה </w:t>
      </w:r>
      <w:r w:rsidR="00926B8E" w:rsidRPr="00853C88">
        <w:rPr>
          <w:rFonts w:cs="David" w:hint="cs"/>
          <w:rtl/>
        </w:rPr>
        <w:t xml:space="preserve">הכללית </w:t>
      </w:r>
      <w:r w:rsidR="00007774" w:rsidRPr="00853C88">
        <w:rPr>
          <w:rFonts w:cs="David" w:hint="cs"/>
          <w:rtl/>
        </w:rPr>
        <w:t>בישראל</w:t>
      </w:r>
      <w:r w:rsidR="00EF3842" w:rsidRPr="00853C88">
        <w:rPr>
          <w:rFonts w:cs="David" w:hint="cs"/>
          <w:rtl/>
        </w:rPr>
        <w:t xml:space="preserve"> </w:t>
      </w:r>
      <w:r w:rsidR="000B7B65" w:rsidRPr="00853C88">
        <w:rPr>
          <w:rFonts w:cs="David" w:hint="cs"/>
          <w:rtl/>
        </w:rPr>
        <w:t>בש</w:t>
      </w:r>
      <w:r w:rsidR="005E776E" w:rsidRPr="00853C88">
        <w:rPr>
          <w:rFonts w:cs="David" w:hint="cs"/>
          <w:rtl/>
        </w:rPr>
        <w:t>נ</w:t>
      </w:r>
      <w:r w:rsidR="000B7B65" w:rsidRPr="00853C88">
        <w:rPr>
          <w:rFonts w:cs="David" w:hint="cs"/>
          <w:rtl/>
        </w:rPr>
        <w:t>ת 201</w:t>
      </w:r>
      <w:r w:rsidR="002B2B60" w:rsidRPr="00853C88">
        <w:rPr>
          <w:rFonts w:cs="David" w:hint="cs"/>
          <w:rtl/>
        </w:rPr>
        <w:t>5</w:t>
      </w:r>
      <w:r w:rsidR="000B7B65" w:rsidRPr="00853C88">
        <w:rPr>
          <w:rFonts w:cs="David" w:hint="cs"/>
          <w:rtl/>
        </w:rPr>
        <w:t xml:space="preserve"> </w:t>
      </w:r>
      <w:r w:rsidR="00EF3842" w:rsidRPr="00853C88">
        <w:rPr>
          <w:rFonts w:cs="David" w:hint="cs"/>
          <w:rtl/>
        </w:rPr>
        <w:t>הי</w:t>
      </w:r>
      <w:r w:rsidR="009164FB" w:rsidRPr="00853C88">
        <w:rPr>
          <w:rFonts w:cs="David" w:hint="cs"/>
          <w:rtl/>
        </w:rPr>
        <w:t>י</w:t>
      </w:r>
      <w:r w:rsidR="00276994" w:rsidRPr="00853C88">
        <w:rPr>
          <w:rFonts w:cs="David" w:hint="cs"/>
          <w:rtl/>
        </w:rPr>
        <w:t>תה</w:t>
      </w:r>
      <w:r w:rsidR="00EF3842" w:rsidRPr="00853C88">
        <w:rPr>
          <w:rFonts w:cs="David" w:hint="cs"/>
          <w:rtl/>
        </w:rPr>
        <w:t xml:space="preserve"> 75% יהודים, 2</w:t>
      </w:r>
      <w:r w:rsidR="002B2B60" w:rsidRPr="00853C88">
        <w:rPr>
          <w:rFonts w:cs="David" w:hint="cs"/>
          <w:rtl/>
        </w:rPr>
        <w:t>1</w:t>
      </w:r>
      <w:r w:rsidR="00EF3842" w:rsidRPr="00853C88">
        <w:rPr>
          <w:rFonts w:cs="David" w:hint="cs"/>
          <w:rtl/>
        </w:rPr>
        <w:t>% ערבים ו-4</w:t>
      </w:r>
      <w:r w:rsidR="002B2B60" w:rsidRPr="00853C88">
        <w:rPr>
          <w:rFonts w:cs="David" w:hint="cs"/>
          <w:rtl/>
        </w:rPr>
        <w:t>%</w:t>
      </w:r>
      <w:r w:rsidR="00EF3842" w:rsidRPr="00853C88">
        <w:rPr>
          <w:rFonts w:cs="David" w:hint="cs"/>
          <w:rtl/>
        </w:rPr>
        <w:t xml:space="preserve"> "אחרים</w:t>
      </w:r>
      <w:r w:rsidR="000F7C12" w:rsidRPr="00853C88">
        <w:rPr>
          <w:rFonts w:cs="David" w:hint="cs"/>
          <w:rtl/>
        </w:rPr>
        <w:t>"</w:t>
      </w:r>
      <w:r w:rsidR="00EF3842" w:rsidRPr="00853C88">
        <w:rPr>
          <w:rFonts w:cs="David" w:hint="cs"/>
          <w:rtl/>
        </w:rPr>
        <w:t>.</w:t>
      </w:r>
    </w:p>
    <w:p w:rsidR="00016314" w:rsidRPr="00853C88" w:rsidRDefault="0091603F" w:rsidP="001671B4">
      <w:pPr>
        <w:bidi/>
        <w:spacing w:line="360" w:lineRule="auto"/>
        <w:jc w:val="both"/>
        <w:rPr>
          <w:rFonts w:cs="David"/>
          <w:rtl/>
        </w:rPr>
      </w:pPr>
      <w:r w:rsidRPr="00853C88">
        <w:rPr>
          <w:rFonts w:cs="David" w:hint="cs"/>
          <w:rtl/>
        </w:rPr>
        <w:t>ב-201</w:t>
      </w:r>
      <w:r w:rsidR="002B2B60" w:rsidRPr="00853C88">
        <w:rPr>
          <w:rFonts w:cs="David" w:hint="cs"/>
          <w:rtl/>
        </w:rPr>
        <w:t>5</w:t>
      </w:r>
      <w:r w:rsidRPr="00853C88">
        <w:rPr>
          <w:rFonts w:cs="David" w:hint="cs"/>
          <w:rtl/>
        </w:rPr>
        <w:t xml:space="preserve"> היו </w:t>
      </w:r>
      <w:r w:rsidR="00016314" w:rsidRPr="00853C88">
        <w:rPr>
          <w:rFonts w:cs="David" w:hint="cs"/>
          <w:rtl/>
        </w:rPr>
        <w:t xml:space="preserve">שיעורי ההיארעות </w:t>
      </w:r>
      <w:r w:rsidR="00A617D7" w:rsidRPr="00853C88">
        <w:rPr>
          <w:rFonts w:cs="David"/>
          <w:rtl/>
        </w:rPr>
        <w:t>המתוקננים לגיל</w:t>
      </w:r>
      <w:r w:rsidR="00A617D7" w:rsidRPr="00853C88">
        <w:rPr>
          <w:rStyle w:val="a5"/>
          <w:rFonts w:cs="David"/>
          <w:rtl/>
        </w:rPr>
        <w:footnoteReference w:id="3"/>
      </w:r>
      <w:r w:rsidR="00A617D7" w:rsidRPr="00853C88">
        <w:rPr>
          <w:rFonts w:cs="David"/>
          <w:rtl/>
        </w:rPr>
        <w:t xml:space="preserve"> </w:t>
      </w:r>
      <w:r w:rsidR="005E776E" w:rsidRPr="00853C88">
        <w:rPr>
          <w:rFonts w:cs="David" w:hint="cs"/>
          <w:rtl/>
        </w:rPr>
        <w:t xml:space="preserve">ל-100,000 </w:t>
      </w:r>
      <w:r w:rsidR="00A617D7" w:rsidRPr="00853C88">
        <w:rPr>
          <w:rFonts w:cs="David"/>
          <w:rtl/>
        </w:rPr>
        <w:t xml:space="preserve">של סרטן </w:t>
      </w:r>
      <w:r w:rsidR="00665A6A" w:rsidRPr="00853C88">
        <w:rPr>
          <w:rFonts w:cs="David" w:hint="cs"/>
          <w:rtl/>
        </w:rPr>
        <w:t>חודרני</w:t>
      </w:r>
      <w:r w:rsidR="00926B8E" w:rsidRPr="00853C88">
        <w:rPr>
          <w:rFonts w:cs="David" w:hint="cs"/>
          <w:rtl/>
        </w:rPr>
        <w:t xml:space="preserve"> של</w:t>
      </w:r>
      <w:r w:rsidR="00016314" w:rsidRPr="00853C88">
        <w:rPr>
          <w:rFonts w:cs="David" w:hint="cs"/>
          <w:rtl/>
        </w:rPr>
        <w:t xml:space="preserve"> </w:t>
      </w:r>
      <w:r w:rsidR="00926B8E" w:rsidRPr="00853C88">
        <w:rPr>
          <w:rFonts w:cs="David" w:hint="cs"/>
          <w:rtl/>
        </w:rPr>
        <w:t xml:space="preserve">השד </w:t>
      </w:r>
      <w:r w:rsidR="00C54F2F" w:rsidRPr="00853C88">
        <w:rPr>
          <w:rFonts w:cs="David" w:hint="cs"/>
          <w:rtl/>
        </w:rPr>
        <w:t>9</w:t>
      </w:r>
      <w:r w:rsidR="001671B4" w:rsidRPr="00853C88">
        <w:rPr>
          <w:rFonts w:cs="David" w:hint="cs"/>
          <w:rtl/>
        </w:rPr>
        <w:t>5</w:t>
      </w:r>
      <w:r w:rsidR="00C54F2F" w:rsidRPr="00853C88">
        <w:rPr>
          <w:rFonts w:cs="David" w:hint="cs"/>
          <w:rtl/>
        </w:rPr>
        <w:t>.7</w:t>
      </w:r>
      <w:r w:rsidRPr="00853C88">
        <w:rPr>
          <w:rFonts w:cs="David" w:hint="cs"/>
          <w:rtl/>
        </w:rPr>
        <w:t xml:space="preserve"> </w:t>
      </w:r>
      <w:r w:rsidR="00276994" w:rsidRPr="00853C88">
        <w:rPr>
          <w:rFonts w:cs="David" w:hint="cs"/>
          <w:rtl/>
        </w:rPr>
        <w:t>ביהודיות</w:t>
      </w:r>
      <w:r w:rsidRPr="00853C88">
        <w:rPr>
          <w:rFonts w:cs="David" w:hint="cs"/>
          <w:rtl/>
        </w:rPr>
        <w:t>, 6</w:t>
      </w:r>
      <w:r w:rsidR="001671B4" w:rsidRPr="00853C88">
        <w:rPr>
          <w:rFonts w:cs="David" w:hint="cs"/>
          <w:rtl/>
        </w:rPr>
        <w:t>9</w:t>
      </w:r>
      <w:r w:rsidR="00C54F2F" w:rsidRPr="00853C88">
        <w:rPr>
          <w:rFonts w:cs="David" w:hint="cs"/>
          <w:rtl/>
        </w:rPr>
        <w:t>.</w:t>
      </w:r>
      <w:r w:rsidR="001671B4" w:rsidRPr="00853C88">
        <w:rPr>
          <w:rFonts w:cs="David" w:hint="cs"/>
          <w:rtl/>
        </w:rPr>
        <w:t>2</w:t>
      </w:r>
      <w:r w:rsidRPr="00853C88">
        <w:rPr>
          <w:rFonts w:cs="David" w:hint="cs"/>
          <w:rtl/>
        </w:rPr>
        <w:t xml:space="preserve"> בערביות ו-</w:t>
      </w:r>
      <w:r w:rsidR="00C54F2F" w:rsidRPr="00853C88">
        <w:rPr>
          <w:rFonts w:cs="David" w:hint="cs"/>
          <w:rtl/>
        </w:rPr>
        <w:t>8</w:t>
      </w:r>
      <w:r w:rsidR="001671B4" w:rsidRPr="00853C88">
        <w:rPr>
          <w:rFonts w:cs="David" w:hint="cs"/>
          <w:rtl/>
        </w:rPr>
        <w:t>1</w:t>
      </w:r>
      <w:r w:rsidR="00C54F2F" w:rsidRPr="00853C88">
        <w:rPr>
          <w:rFonts w:cs="David" w:hint="cs"/>
          <w:rtl/>
        </w:rPr>
        <w:t>.</w:t>
      </w:r>
      <w:r w:rsidR="001671B4" w:rsidRPr="00853C88">
        <w:rPr>
          <w:rFonts w:cs="David" w:hint="cs"/>
          <w:rtl/>
        </w:rPr>
        <w:t>1</w:t>
      </w:r>
      <w:r w:rsidRPr="00853C88">
        <w:rPr>
          <w:rFonts w:cs="David" w:hint="cs"/>
          <w:rtl/>
        </w:rPr>
        <w:t xml:space="preserve"> ב"אחרות". </w:t>
      </w:r>
    </w:p>
    <w:p w:rsidR="00486A1A" w:rsidRPr="00853C88" w:rsidRDefault="00926B8E" w:rsidP="0035363C">
      <w:pPr>
        <w:bidi/>
        <w:spacing w:line="360" w:lineRule="auto"/>
        <w:jc w:val="both"/>
        <w:rPr>
          <w:rFonts w:cs="David"/>
          <w:rtl/>
        </w:rPr>
      </w:pPr>
      <w:r w:rsidRPr="00853C88">
        <w:rPr>
          <w:rFonts w:cs="David" w:hint="cs"/>
          <w:rtl/>
        </w:rPr>
        <w:t>המגמות העיתיות במהלך</w:t>
      </w:r>
      <w:r w:rsidR="005E776E" w:rsidRPr="00853C88">
        <w:rPr>
          <w:rFonts w:cs="David" w:hint="cs"/>
          <w:rtl/>
        </w:rPr>
        <w:t xml:space="preserve"> 3</w:t>
      </w:r>
      <w:r w:rsidR="002B2B60" w:rsidRPr="00853C88">
        <w:rPr>
          <w:rFonts w:cs="David" w:hint="cs"/>
          <w:rtl/>
        </w:rPr>
        <w:t>6</w:t>
      </w:r>
      <w:r w:rsidR="00015B56" w:rsidRPr="00853C88">
        <w:rPr>
          <w:rFonts w:cs="David" w:hint="cs"/>
          <w:rtl/>
        </w:rPr>
        <w:t xml:space="preserve"> </w:t>
      </w:r>
      <w:r w:rsidR="003612B9" w:rsidRPr="00853C88">
        <w:rPr>
          <w:rFonts w:cs="David" w:hint="cs"/>
          <w:rtl/>
        </w:rPr>
        <w:t>השנים</w:t>
      </w:r>
      <w:r w:rsidR="005E776E" w:rsidRPr="00853C88">
        <w:rPr>
          <w:rFonts w:cs="David" w:hint="cs"/>
          <w:rtl/>
        </w:rPr>
        <w:t xml:space="preserve"> 1980-201</w:t>
      </w:r>
      <w:r w:rsidR="002B2B60" w:rsidRPr="00853C88">
        <w:rPr>
          <w:rFonts w:cs="David" w:hint="cs"/>
          <w:rtl/>
        </w:rPr>
        <w:t>5</w:t>
      </w:r>
      <w:r w:rsidR="005E776E" w:rsidRPr="00853C88">
        <w:rPr>
          <w:rFonts w:cs="David" w:hint="cs"/>
          <w:rtl/>
        </w:rPr>
        <w:t xml:space="preserve"> </w:t>
      </w:r>
      <w:r w:rsidR="00276994" w:rsidRPr="00853C88">
        <w:rPr>
          <w:rFonts w:cs="David" w:hint="cs"/>
          <w:rtl/>
        </w:rPr>
        <w:t>נבחנו באמצעות כלי</w:t>
      </w:r>
      <w:r w:rsidR="009164FB" w:rsidRPr="00853C88">
        <w:rPr>
          <w:rFonts w:cs="David" w:hint="cs"/>
          <w:rtl/>
        </w:rPr>
        <w:t xml:space="preserve"> סטטיסטי</w:t>
      </w:r>
      <w:r w:rsidR="0035363C" w:rsidRPr="00853C88">
        <w:rPr>
          <w:rFonts w:cs="David" w:hint="cs"/>
          <w:rtl/>
        </w:rPr>
        <w:t xml:space="preserve">, תוכנת </w:t>
      </w:r>
      <w:r w:rsidR="0035363C" w:rsidRPr="00853C88">
        <w:rPr>
          <w:rFonts w:cs="David"/>
        </w:rPr>
        <w:t>Joinpoint</w:t>
      </w:r>
      <w:r w:rsidR="0035363C" w:rsidRPr="00853C88">
        <w:rPr>
          <w:rFonts w:cs="David" w:hint="cs"/>
          <w:rtl/>
        </w:rPr>
        <w:t xml:space="preserve">, </w:t>
      </w:r>
      <w:r w:rsidR="00276994" w:rsidRPr="00853C88">
        <w:rPr>
          <w:rFonts w:cs="David" w:hint="cs"/>
          <w:rtl/>
        </w:rPr>
        <w:t xml:space="preserve">המאפשר </w:t>
      </w:r>
      <w:r w:rsidR="0068672D" w:rsidRPr="00853C88">
        <w:rPr>
          <w:rFonts w:cs="David" w:hint="cs"/>
          <w:rtl/>
        </w:rPr>
        <w:t xml:space="preserve">לחשב את אחוז השינוי השנתי, </w:t>
      </w:r>
      <w:r w:rsidR="0068672D" w:rsidRPr="00853C88">
        <w:rPr>
          <w:rFonts w:cs="David"/>
        </w:rPr>
        <w:t xml:space="preserve">APC =Annual Percent Change </w:t>
      </w:r>
      <w:r w:rsidR="0068672D" w:rsidRPr="00853C88">
        <w:rPr>
          <w:rFonts w:cs="David" w:hint="cs"/>
          <w:rtl/>
        </w:rPr>
        <w:t xml:space="preserve"> ול</w:t>
      </w:r>
      <w:r w:rsidR="00276994" w:rsidRPr="00853C88">
        <w:rPr>
          <w:rFonts w:cs="David" w:hint="cs"/>
          <w:rtl/>
        </w:rPr>
        <w:t>אתר נקודות שינוי מ</w:t>
      </w:r>
      <w:r w:rsidR="00FC7057" w:rsidRPr="00853C88">
        <w:rPr>
          <w:rFonts w:cs="David" w:hint="cs"/>
          <w:rtl/>
        </w:rPr>
        <w:t>ובהקות</w:t>
      </w:r>
      <w:r w:rsidR="00703BC0" w:rsidRPr="00853C88">
        <w:rPr>
          <w:rStyle w:val="a5"/>
          <w:rFonts w:cs="David"/>
          <w:rtl/>
        </w:rPr>
        <w:footnoteReference w:id="4"/>
      </w:r>
      <w:r w:rsidR="00276994" w:rsidRPr="00853C88">
        <w:rPr>
          <w:rFonts w:cs="David" w:hint="cs"/>
          <w:rtl/>
        </w:rPr>
        <w:t xml:space="preserve">. </w:t>
      </w:r>
    </w:p>
    <w:p w:rsidR="00D51E6B" w:rsidRPr="00853C88" w:rsidRDefault="00E10C7C" w:rsidP="00486A1A">
      <w:pPr>
        <w:bidi/>
        <w:spacing w:line="360" w:lineRule="auto"/>
        <w:jc w:val="both"/>
        <w:rPr>
          <w:rFonts w:cs="David"/>
          <w:rtl/>
        </w:rPr>
      </w:pPr>
      <w:r w:rsidRPr="00853C88">
        <w:rPr>
          <w:rFonts w:cs="David" w:hint="cs"/>
          <w:rtl/>
        </w:rPr>
        <w:t xml:space="preserve">בנשים יהודיות נצפתה יציבות בתחלואה בשנים 1980-1985, עלייה מובהקת בהיארעות </w:t>
      </w:r>
      <w:r w:rsidRPr="00853C88">
        <w:rPr>
          <w:rFonts w:cs="David"/>
        </w:rPr>
        <w:t>(APC=+6.</w:t>
      </w:r>
      <w:r w:rsidR="0035363C" w:rsidRPr="00853C88">
        <w:rPr>
          <w:rFonts w:cs="David"/>
        </w:rPr>
        <w:t>4</w:t>
      </w:r>
      <w:r w:rsidRPr="00853C88">
        <w:rPr>
          <w:rFonts w:cs="David"/>
        </w:rPr>
        <w:t>%)</w:t>
      </w:r>
      <w:r w:rsidRPr="00853C88">
        <w:rPr>
          <w:rFonts w:cs="David" w:hint="cs"/>
          <w:rtl/>
        </w:rPr>
        <w:t xml:space="preserve"> בשנים 1985-1990 ושוב </w:t>
      </w:r>
      <w:r w:rsidRPr="00853C88">
        <w:rPr>
          <w:rFonts w:cs="David" w:hint="cs"/>
          <w:b/>
          <w:bCs/>
          <w:rtl/>
        </w:rPr>
        <w:t>יציבות מאז 1990</w:t>
      </w:r>
      <w:r w:rsidRPr="00853C88">
        <w:rPr>
          <w:rFonts w:cs="David" w:hint="cs"/>
          <w:rtl/>
        </w:rPr>
        <w:t xml:space="preserve">. </w:t>
      </w:r>
    </w:p>
    <w:p w:rsidR="00CF1F75" w:rsidRPr="00853C88" w:rsidRDefault="00FC7057" w:rsidP="00212E14">
      <w:pPr>
        <w:bidi/>
        <w:spacing w:line="360" w:lineRule="auto"/>
        <w:jc w:val="both"/>
        <w:rPr>
          <w:rFonts w:cs="David"/>
          <w:rtl/>
        </w:rPr>
      </w:pPr>
      <w:r w:rsidRPr="00853C88">
        <w:rPr>
          <w:rFonts w:cs="David" w:hint="cs"/>
          <w:rtl/>
        </w:rPr>
        <w:t>בנשים ערביות בשנים 1980-20</w:t>
      </w:r>
      <w:r w:rsidR="00212E14" w:rsidRPr="00853C88">
        <w:rPr>
          <w:rFonts w:cs="David" w:hint="cs"/>
          <w:rtl/>
        </w:rPr>
        <w:t>15</w:t>
      </w:r>
      <w:r w:rsidRPr="00853C88">
        <w:rPr>
          <w:rFonts w:cs="David" w:hint="cs"/>
          <w:rtl/>
        </w:rPr>
        <w:t xml:space="preserve"> נצפתה </w:t>
      </w:r>
      <w:r w:rsidRPr="00853C88">
        <w:rPr>
          <w:rFonts w:cs="David" w:hint="cs"/>
          <w:b/>
          <w:bCs/>
          <w:rtl/>
        </w:rPr>
        <w:t>מגמת עלייה</w:t>
      </w:r>
      <w:r w:rsidRPr="00853C88">
        <w:rPr>
          <w:rFonts w:cs="David" w:hint="cs"/>
          <w:rtl/>
        </w:rPr>
        <w:t xml:space="preserve"> </w:t>
      </w:r>
      <w:r w:rsidRPr="00853C88">
        <w:rPr>
          <w:rFonts w:cs="David" w:hint="cs"/>
          <w:b/>
          <w:bCs/>
          <w:rtl/>
        </w:rPr>
        <w:t>מובהקת</w:t>
      </w:r>
      <w:r w:rsidRPr="00853C88">
        <w:rPr>
          <w:rFonts w:cs="David" w:hint="cs"/>
          <w:rtl/>
        </w:rPr>
        <w:t xml:space="preserve"> בהיארעות סרטן חודרני של השד</w:t>
      </w:r>
      <w:r w:rsidR="00E10C7C" w:rsidRPr="00853C88">
        <w:rPr>
          <w:rFonts w:cs="David" w:hint="cs"/>
          <w:rtl/>
        </w:rPr>
        <w:t xml:space="preserve"> לכל אורך התקופה, בקצב משתנה</w:t>
      </w:r>
      <w:r w:rsidR="0035363C" w:rsidRPr="00853C88">
        <w:rPr>
          <w:rFonts w:cs="David" w:hint="cs"/>
          <w:rtl/>
        </w:rPr>
        <w:t>; בין 1980 ו-2002 העלייה בהיארעות ה</w:t>
      </w:r>
      <w:r w:rsidR="00486A1A" w:rsidRPr="00853C88">
        <w:rPr>
          <w:rFonts w:cs="David" w:hint="cs"/>
          <w:rtl/>
        </w:rPr>
        <w:t>י</w:t>
      </w:r>
      <w:r w:rsidR="0035363C" w:rsidRPr="00853C88">
        <w:rPr>
          <w:rFonts w:cs="David" w:hint="cs"/>
          <w:rtl/>
        </w:rPr>
        <w:t>יתה בקצב של 6.4% לשנה ואילו בין 2002 ו-2015 קצב העלייה התמתן מעט, והיה 1.9% לשנה</w:t>
      </w:r>
      <w:r w:rsidR="00E10C7C" w:rsidRPr="00853C88">
        <w:rPr>
          <w:rFonts w:cs="David" w:hint="cs"/>
          <w:rtl/>
        </w:rPr>
        <w:t xml:space="preserve"> </w:t>
      </w:r>
      <w:r w:rsidR="0091603F" w:rsidRPr="00853C88">
        <w:rPr>
          <w:rFonts w:cs="David" w:hint="cs"/>
          <w:rtl/>
        </w:rPr>
        <w:t xml:space="preserve"> (</w:t>
      </w:r>
      <w:r w:rsidR="0091603F" w:rsidRPr="00853C88">
        <w:rPr>
          <w:rFonts w:cs="David"/>
        </w:rPr>
        <w:t>APC</w:t>
      </w:r>
      <w:r w:rsidR="00E10C7C" w:rsidRPr="00853C88">
        <w:rPr>
          <w:rFonts w:cs="David"/>
          <w:vertAlign w:val="subscript"/>
        </w:rPr>
        <w:t>1980-2002</w:t>
      </w:r>
      <w:r w:rsidR="0091603F" w:rsidRPr="00853C88">
        <w:rPr>
          <w:rFonts w:cs="David"/>
        </w:rPr>
        <w:t>=+6.</w:t>
      </w:r>
      <w:r w:rsidR="0035363C" w:rsidRPr="00853C88">
        <w:rPr>
          <w:rFonts w:cs="David"/>
        </w:rPr>
        <w:t>4</w:t>
      </w:r>
      <w:r w:rsidR="0091603F" w:rsidRPr="00853C88">
        <w:rPr>
          <w:rFonts w:cs="David"/>
        </w:rPr>
        <w:t>%</w:t>
      </w:r>
      <w:r w:rsidR="00E10C7C" w:rsidRPr="00853C88">
        <w:rPr>
          <w:rFonts w:cs="David"/>
        </w:rPr>
        <w:t>; APC</w:t>
      </w:r>
      <w:r w:rsidR="00E10C7C" w:rsidRPr="00853C88">
        <w:rPr>
          <w:rFonts w:cs="David"/>
          <w:vertAlign w:val="subscript"/>
        </w:rPr>
        <w:t>2002-20</w:t>
      </w:r>
      <w:r w:rsidR="0035363C" w:rsidRPr="00853C88">
        <w:rPr>
          <w:rFonts w:cs="David"/>
          <w:vertAlign w:val="subscript"/>
        </w:rPr>
        <w:t>15</w:t>
      </w:r>
      <w:r w:rsidR="00E10C7C" w:rsidRPr="00853C88">
        <w:rPr>
          <w:rFonts w:cs="David"/>
        </w:rPr>
        <w:t>=+1.</w:t>
      </w:r>
      <w:r w:rsidR="0035363C" w:rsidRPr="00853C88">
        <w:rPr>
          <w:rFonts w:cs="David"/>
        </w:rPr>
        <w:t>9</w:t>
      </w:r>
      <w:r w:rsidR="00E10C7C" w:rsidRPr="00853C88">
        <w:rPr>
          <w:rFonts w:cs="David"/>
        </w:rPr>
        <w:t>%</w:t>
      </w:r>
      <w:r w:rsidR="00E10C7C" w:rsidRPr="00853C88">
        <w:rPr>
          <w:rFonts w:cs="David" w:hint="cs"/>
          <w:rtl/>
        </w:rPr>
        <w:t>)</w:t>
      </w:r>
      <w:r w:rsidR="0091603F" w:rsidRPr="00853C88">
        <w:rPr>
          <w:rFonts w:cs="David" w:hint="cs"/>
          <w:rtl/>
        </w:rPr>
        <w:t xml:space="preserve"> </w:t>
      </w:r>
      <w:r w:rsidR="000F7C12" w:rsidRPr="00853C88">
        <w:rPr>
          <w:rFonts w:cs="David" w:hint="cs"/>
          <w:rtl/>
        </w:rPr>
        <w:t>(תרשים 1).</w:t>
      </w:r>
    </w:p>
    <w:p w:rsidR="0035363C" w:rsidRDefault="0035363C">
      <w:pPr>
        <w:widowControl/>
        <w:suppressAutoHyphens w:val="0"/>
        <w:rPr>
          <w:rFonts w:cs="David"/>
          <w:sz w:val="18"/>
          <w:szCs w:val="18"/>
        </w:rPr>
      </w:pPr>
      <w:r w:rsidRPr="00853C88">
        <w:rPr>
          <w:rFonts w:cs="David"/>
          <w:rtl/>
        </w:rPr>
        <w:br w:type="page"/>
      </w:r>
    </w:p>
    <w:p w:rsidR="00462FCF" w:rsidRPr="0035363C" w:rsidRDefault="00CF1F75" w:rsidP="002B2B60">
      <w:pPr>
        <w:bidi/>
        <w:spacing w:line="360" w:lineRule="auto"/>
        <w:rPr>
          <w:rFonts w:cs="David"/>
        </w:rPr>
      </w:pPr>
      <w:r w:rsidRPr="0035363C">
        <w:rPr>
          <w:rFonts w:cs="David" w:hint="cs"/>
          <w:sz w:val="18"/>
          <w:szCs w:val="18"/>
          <w:rtl/>
        </w:rPr>
        <w:lastRenderedPageBreak/>
        <w:t xml:space="preserve">תרשים 1: </w:t>
      </w:r>
      <w:r w:rsidR="00FD457D" w:rsidRPr="0035363C">
        <w:rPr>
          <w:rFonts w:cs="David" w:hint="cs"/>
          <w:b/>
          <w:bCs/>
          <w:sz w:val="18"/>
          <w:szCs w:val="18"/>
          <w:rtl/>
        </w:rPr>
        <w:t>מגמות ב</w:t>
      </w:r>
      <w:r w:rsidRPr="0035363C">
        <w:rPr>
          <w:rFonts w:cs="David" w:hint="cs"/>
          <w:b/>
          <w:bCs/>
          <w:sz w:val="18"/>
          <w:szCs w:val="18"/>
          <w:rtl/>
        </w:rPr>
        <w:t>היארעות סרטן חודרני של השד בנשים, לפי קבוצת אוכלוסייה, ישראל 1980-201</w:t>
      </w:r>
      <w:r w:rsidR="002B2B60" w:rsidRPr="0035363C">
        <w:rPr>
          <w:rFonts w:cs="David" w:hint="cs"/>
          <w:b/>
          <w:bCs/>
          <w:sz w:val="18"/>
          <w:szCs w:val="18"/>
          <w:rtl/>
        </w:rPr>
        <w:t>5</w:t>
      </w:r>
      <w:r w:rsidR="003612B9" w:rsidRPr="0035363C">
        <w:rPr>
          <w:rFonts w:cs="David" w:hint="cs"/>
          <w:b/>
          <w:bCs/>
          <w:sz w:val="18"/>
          <w:szCs w:val="18"/>
          <w:rtl/>
        </w:rPr>
        <w:t xml:space="preserve"> </w:t>
      </w:r>
      <w:r w:rsidR="00016314" w:rsidRPr="0035363C">
        <w:rPr>
          <w:rFonts w:cs="David" w:hint="cs"/>
          <w:b/>
          <w:bCs/>
          <w:sz w:val="18"/>
          <w:szCs w:val="18"/>
          <w:rtl/>
        </w:rPr>
        <w:t xml:space="preserve"> </w:t>
      </w:r>
      <w:r w:rsidR="00FD457D" w:rsidRPr="0035363C">
        <w:rPr>
          <w:rFonts w:cs="David"/>
          <w:sz w:val="18"/>
          <w:szCs w:val="18"/>
        </w:rPr>
        <w:t>(</w:t>
      </w:r>
      <w:r w:rsidR="00FD457D" w:rsidRPr="0035363C">
        <w:rPr>
          <w:rFonts w:cs="David"/>
          <w:color w:val="4F81BD" w:themeColor="accent1"/>
          <w:sz w:val="18"/>
          <w:szCs w:val="18"/>
        </w:rPr>
        <w:t>Jointpoint</w:t>
      </w:r>
      <w:r w:rsidR="00FD457D" w:rsidRPr="0035363C">
        <w:rPr>
          <w:rFonts w:cs="David"/>
          <w:sz w:val="18"/>
          <w:szCs w:val="18"/>
        </w:rPr>
        <w:t>)</w:t>
      </w:r>
    </w:p>
    <w:p w:rsidR="001C5BD4" w:rsidRPr="001C5BD4" w:rsidRDefault="0035363C" w:rsidP="001C5BD4">
      <w:pPr>
        <w:bidi/>
        <w:spacing w:line="360" w:lineRule="auto"/>
        <w:jc w:val="both"/>
        <w:rPr>
          <w:rFonts w:cs="David"/>
          <w:rtl/>
        </w:rPr>
      </w:pPr>
      <w:r>
        <w:rPr>
          <w:noProof/>
          <w:lang w:eastAsia="en-US"/>
        </w:rPr>
        <w:drawing>
          <wp:inline distT="0" distB="0" distL="0" distR="0" wp14:anchorId="6B38BB79" wp14:editId="7A7D10C8">
            <wp:extent cx="5516880" cy="3329940"/>
            <wp:effectExtent l="0" t="0" r="26670" b="22860"/>
            <wp:docPr id="8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5363C" w:rsidRDefault="0035363C" w:rsidP="001C5BD4">
      <w:pPr>
        <w:bidi/>
        <w:spacing w:line="360" w:lineRule="auto"/>
        <w:jc w:val="both"/>
        <w:rPr>
          <w:rFonts w:cs="David"/>
          <w:b/>
          <w:bCs/>
          <w:color w:val="0000FF"/>
          <w:kern w:val="28"/>
          <w:sz w:val="28"/>
          <w:szCs w:val="28"/>
          <w:rtl/>
        </w:rPr>
      </w:pPr>
    </w:p>
    <w:p w:rsidR="001C5BD4" w:rsidRPr="001C5BD4" w:rsidRDefault="0035363C" w:rsidP="0035363C">
      <w:pPr>
        <w:bidi/>
        <w:spacing w:line="360" w:lineRule="auto"/>
        <w:jc w:val="both"/>
        <w:rPr>
          <w:rFonts w:cs="David"/>
          <w:b/>
          <w:bCs/>
          <w:color w:val="0000FF"/>
          <w:sz w:val="28"/>
          <w:szCs w:val="28"/>
          <w:rtl/>
        </w:rPr>
      </w:pPr>
      <w:r w:rsidRPr="001C5BD4">
        <w:rPr>
          <w:rFonts w:cs="David" w:hint="cs"/>
          <w:b/>
          <w:bCs/>
          <w:color w:val="0000FF"/>
          <w:sz w:val="28"/>
          <w:szCs w:val="28"/>
        </w:rPr>
        <w:sym w:font="Wingdings 3" w:char="F074"/>
      </w:r>
      <w:r w:rsidR="001C5BD4" w:rsidRPr="001C5BD4">
        <w:rPr>
          <w:rFonts w:cs="David" w:hint="cs"/>
          <w:b/>
          <w:bCs/>
          <w:color w:val="0000FF"/>
          <w:kern w:val="28"/>
          <w:sz w:val="28"/>
          <w:szCs w:val="28"/>
          <w:rtl/>
        </w:rPr>
        <w:t xml:space="preserve">שיעורי ההיארעות של סרטן ממוקד </w:t>
      </w:r>
      <w:r w:rsidR="001C5BD4" w:rsidRPr="001C5BD4">
        <w:rPr>
          <w:rFonts w:cs="David"/>
          <w:b/>
          <w:bCs/>
          <w:color w:val="0000FF"/>
          <w:kern w:val="28"/>
          <w:sz w:val="28"/>
          <w:szCs w:val="28"/>
        </w:rPr>
        <w:t>(in situ)</w:t>
      </w:r>
      <w:r w:rsidR="001C5BD4" w:rsidRPr="001C5BD4">
        <w:rPr>
          <w:rFonts w:cs="David" w:hint="cs"/>
          <w:b/>
          <w:bCs/>
          <w:color w:val="0000FF"/>
          <w:kern w:val="28"/>
          <w:sz w:val="28"/>
          <w:szCs w:val="28"/>
          <w:rtl/>
        </w:rPr>
        <w:t xml:space="preserve"> של השד</w:t>
      </w:r>
      <w:r w:rsidR="001C5BD4" w:rsidRPr="001C5BD4">
        <w:rPr>
          <w:rFonts w:cs="David" w:hint="cs"/>
          <w:b/>
          <w:bCs/>
          <w:color w:val="0000FF"/>
          <w:sz w:val="28"/>
          <w:szCs w:val="28"/>
          <w:rtl/>
        </w:rPr>
        <w:t xml:space="preserve"> ומגמות עיתיות</w:t>
      </w:r>
    </w:p>
    <w:p w:rsidR="00DB09B9" w:rsidRPr="00853C88" w:rsidRDefault="00FB08BA" w:rsidP="0035363C">
      <w:pPr>
        <w:bidi/>
        <w:spacing w:line="360" w:lineRule="auto"/>
        <w:jc w:val="both"/>
        <w:rPr>
          <w:rFonts w:cs="David"/>
          <w:rtl/>
        </w:rPr>
      </w:pPr>
      <w:r w:rsidRPr="00853C88">
        <w:rPr>
          <w:rFonts w:cs="David"/>
          <w:rtl/>
        </w:rPr>
        <w:t>בשנת</w:t>
      </w:r>
      <w:r w:rsidR="005E776E" w:rsidRPr="00853C88">
        <w:rPr>
          <w:rFonts w:cs="David" w:hint="cs"/>
          <w:rtl/>
        </w:rPr>
        <w:t xml:space="preserve"> 201</w:t>
      </w:r>
      <w:r w:rsidR="002B2B60" w:rsidRPr="00853C88">
        <w:rPr>
          <w:rFonts w:cs="David" w:hint="cs"/>
          <w:rtl/>
        </w:rPr>
        <w:t>5</w:t>
      </w:r>
      <w:r w:rsidR="005E776E" w:rsidRPr="00853C88">
        <w:rPr>
          <w:rFonts w:cs="David" w:hint="cs"/>
          <w:rtl/>
        </w:rPr>
        <w:t xml:space="preserve"> </w:t>
      </w:r>
      <w:r w:rsidRPr="00853C88">
        <w:rPr>
          <w:rFonts w:cs="David"/>
          <w:rtl/>
        </w:rPr>
        <w:t xml:space="preserve">אובחנו </w:t>
      </w:r>
      <w:r w:rsidR="007B066A" w:rsidRPr="00853C88">
        <w:rPr>
          <w:rFonts w:cs="David" w:hint="cs"/>
          <w:b/>
          <w:bCs/>
          <w:rtl/>
        </w:rPr>
        <w:t>63</w:t>
      </w:r>
      <w:r w:rsidR="0035363C" w:rsidRPr="00853C88">
        <w:rPr>
          <w:rFonts w:cs="David" w:hint="cs"/>
          <w:b/>
          <w:bCs/>
          <w:rtl/>
        </w:rPr>
        <w:t>3</w:t>
      </w:r>
      <w:r w:rsidR="00E92D7F" w:rsidRPr="00853C88">
        <w:rPr>
          <w:rFonts w:cs="David"/>
          <w:b/>
          <w:bCs/>
        </w:rPr>
        <w:t xml:space="preserve"> </w:t>
      </w:r>
      <w:r w:rsidRPr="00853C88">
        <w:rPr>
          <w:rFonts w:cs="David"/>
          <w:rtl/>
        </w:rPr>
        <w:t>חול</w:t>
      </w:r>
      <w:r w:rsidRPr="00853C88">
        <w:rPr>
          <w:rFonts w:cs="David" w:hint="cs"/>
          <w:rtl/>
        </w:rPr>
        <w:t xml:space="preserve">ות חדשות עם </w:t>
      </w:r>
      <w:r w:rsidRPr="00853C88">
        <w:rPr>
          <w:rFonts w:cs="David" w:hint="cs"/>
          <w:b/>
          <w:bCs/>
          <w:rtl/>
        </w:rPr>
        <w:t>סרטן ממוקד</w:t>
      </w:r>
      <w:r w:rsidRPr="00853C88">
        <w:rPr>
          <w:rFonts w:cs="David" w:hint="cs"/>
          <w:rtl/>
        </w:rPr>
        <w:t xml:space="preserve"> של השד, מהן </w:t>
      </w:r>
      <w:r w:rsidR="007B066A" w:rsidRPr="00853C88">
        <w:rPr>
          <w:rFonts w:cs="David" w:hint="cs"/>
          <w:rtl/>
        </w:rPr>
        <w:t>5</w:t>
      </w:r>
      <w:r w:rsidR="0035363C" w:rsidRPr="00853C88">
        <w:rPr>
          <w:rFonts w:cs="David" w:hint="cs"/>
          <w:rtl/>
        </w:rPr>
        <w:t>83</w:t>
      </w:r>
      <w:r w:rsidR="00B92A16" w:rsidRPr="00853C88">
        <w:rPr>
          <w:rFonts w:cs="David" w:hint="cs"/>
          <w:rtl/>
        </w:rPr>
        <w:t xml:space="preserve"> </w:t>
      </w:r>
      <w:r w:rsidR="00DB09B9" w:rsidRPr="00853C88">
        <w:rPr>
          <w:rFonts w:cs="David" w:hint="cs"/>
          <w:rtl/>
        </w:rPr>
        <w:t>יהודיות (</w:t>
      </w:r>
      <w:r w:rsidR="007B066A" w:rsidRPr="00853C88">
        <w:rPr>
          <w:rFonts w:cs="David" w:hint="cs"/>
          <w:rtl/>
        </w:rPr>
        <w:t>9</w:t>
      </w:r>
      <w:r w:rsidR="0035363C" w:rsidRPr="00853C88">
        <w:rPr>
          <w:rFonts w:cs="David" w:hint="cs"/>
          <w:rtl/>
        </w:rPr>
        <w:t>2</w:t>
      </w:r>
      <w:r w:rsidR="00DB09B9" w:rsidRPr="00853C88">
        <w:rPr>
          <w:rFonts w:cs="David" w:hint="cs"/>
          <w:rtl/>
        </w:rPr>
        <w:t xml:space="preserve">%), </w:t>
      </w:r>
      <w:r w:rsidR="0035363C" w:rsidRPr="00853C88">
        <w:rPr>
          <w:rFonts w:cs="David" w:hint="cs"/>
          <w:rtl/>
        </w:rPr>
        <w:t>30</w:t>
      </w:r>
      <w:r w:rsidR="00DB09B9" w:rsidRPr="00853C88">
        <w:rPr>
          <w:rFonts w:cs="David" w:hint="cs"/>
          <w:rtl/>
        </w:rPr>
        <w:t xml:space="preserve"> ערביות (</w:t>
      </w:r>
      <w:r w:rsidR="0035363C" w:rsidRPr="00853C88">
        <w:rPr>
          <w:rFonts w:cs="David" w:hint="cs"/>
          <w:rtl/>
        </w:rPr>
        <w:t>5</w:t>
      </w:r>
      <w:r w:rsidR="00DB09B9" w:rsidRPr="00853C88">
        <w:rPr>
          <w:rFonts w:cs="David" w:hint="cs"/>
          <w:rtl/>
        </w:rPr>
        <w:t>%) ו-</w:t>
      </w:r>
      <w:r w:rsidR="00B92A16" w:rsidRPr="00853C88">
        <w:rPr>
          <w:rFonts w:cs="David" w:hint="cs"/>
          <w:rtl/>
        </w:rPr>
        <w:t>2</w:t>
      </w:r>
      <w:r w:rsidR="0035363C" w:rsidRPr="00853C88">
        <w:rPr>
          <w:rFonts w:cs="David" w:hint="cs"/>
          <w:rtl/>
        </w:rPr>
        <w:t>0</w:t>
      </w:r>
      <w:r w:rsidR="00DB09B9" w:rsidRPr="00853C88">
        <w:rPr>
          <w:rFonts w:cs="David" w:hint="cs"/>
          <w:rtl/>
        </w:rPr>
        <w:t xml:space="preserve"> חולות "אחרות" (</w:t>
      </w:r>
      <w:r w:rsidR="0035363C" w:rsidRPr="00853C88">
        <w:rPr>
          <w:rFonts w:cs="David" w:hint="cs"/>
          <w:rtl/>
        </w:rPr>
        <w:t>3</w:t>
      </w:r>
      <w:r w:rsidR="00DB09B9" w:rsidRPr="00853C88">
        <w:rPr>
          <w:rFonts w:cs="David" w:hint="cs"/>
          <w:rtl/>
        </w:rPr>
        <w:t>%). בשנת 20</w:t>
      </w:r>
      <w:r w:rsidR="000F7C12" w:rsidRPr="00853C88">
        <w:rPr>
          <w:rFonts w:cs="David" w:hint="cs"/>
          <w:rtl/>
        </w:rPr>
        <w:t>1</w:t>
      </w:r>
      <w:r w:rsidR="002B2B60" w:rsidRPr="00853C88">
        <w:rPr>
          <w:rFonts w:cs="David" w:hint="cs"/>
          <w:rtl/>
        </w:rPr>
        <w:t>5</w:t>
      </w:r>
      <w:r w:rsidR="00DB09B9" w:rsidRPr="00853C88">
        <w:rPr>
          <w:rFonts w:cs="David" w:hint="cs"/>
          <w:rtl/>
        </w:rPr>
        <w:t xml:space="preserve"> היוו גידולים ממוקדים של השד כ-1</w:t>
      </w:r>
      <w:r w:rsidR="007B066A" w:rsidRPr="00853C88">
        <w:rPr>
          <w:rFonts w:cs="David" w:hint="cs"/>
          <w:rtl/>
        </w:rPr>
        <w:t>3</w:t>
      </w:r>
      <w:r w:rsidR="00DB09B9" w:rsidRPr="00853C88">
        <w:rPr>
          <w:rFonts w:cs="David" w:hint="cs"/>
          <w:rtl/>
        </w:rPr>
        <w:t>% מכלל האבחנות של סרטן השד בנשים.</w:t>
      </w:r>
    </w:p>
    <w:p w:rsidR="006B4D4E" w:rsidRPr="00853C88" w:rsidRDefault="006B4D4E" w:rsidP="00D51E6B">
      <w:pPr>
        <w:bidi/>
        <w:spacing w:line="360" w:lineRule="auto"/>
        <w:jc w:val="both"/>
        <w:rPr>
          <w:rFonts w:cs="David"/>
          <w:rtl/>
        </w:rPr>
      </w:pPr>
      <w:r w:rsidRPr="00853C88">
        <w:rPr>
          <w:rFonts w:cs="David" w:hint="cs"/>
          <w:rtl/>
        </w:rPr>
        <w:t xml:space="preserve">שיעורי ההיארעות </w:t>
      </w:r>
      <w:r w:rsidRPr="00853C88">
        <w:rPr>
          <w:rFonts w:cs="David"/>
          <w:rtl/>
        </w:rPr>
        <w:t xml:space="preserve">המתוקננים לגיל </w:t>
      </w:r>
      <w:r w:rsidR="0091603F" w:rsidRPr="00853C88">
        <w:rPr>
          <w:rFonts w:cs="David" w:hint="cs"/>
          <w:rtl/>
        </w:rPr>
        <w:t xml:space="preserve">ל-100,000 </w:t>
      </w:r>
      <w:r w:rsidRPr="00853C88">
        <w:rPr>
          <w:rFonts w:cs="David"/>
          <w:rtl/>
        </w:rPr>
        <w:t xml:space="preserve">של סרטן </w:t>
      </w:r>
      <w:r w:rsidRPr="00853C88">
        <w:rPr>
          <w:rFonts w:cs="David" w:hint="cs"/>
          <w:rtl/>
        </w:rPr>
        <w:t xml:space="preserve">ממוקד </w:t>
      </w:r>
      <w:r w:rsidR="0091603F" w:rsidRPr="00853C88">
        <w:rPr>
          <w:rFonts w:cs="David" w:hint="cs"/>
          <w:rtl/>
        </w:rPr>
        <w:t xml:space="preserve">של השד </w:t>
      </w:r>
      <w:r w:rsidR="00703BC0" w:rsidRPr="00853C88">
        <w:rPr>
          <w:rFonts w:cs="David" w:hint="cs"/>
          <w:rtl/>
        </w:rPr>
        <w:t>בשנת 201</w:t>
      </w:r>
      <w:r w:rsidR="002B2B60" w:rsidRPr="00853C88">
        <w:rPr>
          <w:rFonts w:cs="David" w:hint="cs"/>
          <w:rtl/>
        </w:rPr>
        <w:t>5</w:t>
      </w:r>
      <w:r w:rsidR="00703BC0" w:rsidRPr="00853C88">
        <w:rPr>
          <w:rFonts w:cs="David" w:hint="cs"/>
          <w:rtl/>
        </w:rPr>
        <w:t xml:space="preserve"> </w:t>
      </w:r>
      <w:r w:rsidR="0091603F" w:rsidRPr="00853C88">
        <w:rPr>
          <w:rFonts w:cs="David" w:hint="cs"/>
          <w:rtl/>
        </w:rPr>
        <w:t xml:space="preserve">היו </w:t>
      </w:r>
      <w:r w:rsidR="0068672D" w:rsidRPr="00853C88">
        <w:rPr>
          <w:rFonts w:cs="David" w:hint="cs"/>
          <w:rtl/>
        </w:rPr>
        <w:t>1</w:t>
      </w:r>
      <w:r w:rsidR="00D51E6B" w:rsidRPr="00853C88">
        <w:rPr>
          <w:rFonts w:cs="David" w:hint="cs"/>
          <w:rtl/>
        </w:rPr>
        <w:t>4.9</w:t>
      </w:r>
      <w:r w:rsidR="00703BC0" w:rsidRPr="00853C88">
        <w:rPr>
          <w:rFonts w:cs="David" w:hint="cs"/>
          <w:rtl/>
        </w:rPr>
        <w:t xml:space="preserve"> ביהודיות, </w:t>
      </w:r>
      <w:r w:rsidR="00D51E6B" w:rsidRPr="00853C88">
        <w:rPr>
          <w:rFonts w:cs="David" w:hint="cs"/>
          <w:rtl/>
        </w:rPr>
        <w:t>4</w:t>
      </w:r>
      <w:r w:rsidR="0068672D" w:rsidRPr="00853C88">
        <w:rPr>
          <w:rFonts w:cs="David" w:hint="cs"/>
          <w:rtl/>
        </w:rPr>
        <w:t>.</w:t>
      </w:r>
      <w:r w:rsidR="00D51E6B" w:rsidRPr="00853C88">
        <w:rPr>
          <w:rFonts w:cs="David" w:hint="cs"/>
          <w:rtl/>
        </w:rPr>
        <w:t>6</w:t>
      </w:r>
      <w:r w:rsidR="00703BC0" w:rsidRPr="00853C88">
        <w:rPr>
          <w:rFonts w:cs="David" w:hint="cs"/>
          <w:rtl/>
        </w:rPr>
        <w:t xml:space="preserve"> בערביות ו-</w:t>
      </w:r>
      <w:r w:rsidR="00D51E6B" w:rsidRPr="00853C88">
        <w:rPr>
          <w:rFonts w:cs="David" w:hint="cs"/>
          <w:rtl/>
        </w:rPr>
        <w:t>7</w:t>
      </w:r>
      <w:r w:rsidR="007B066A" w:rsidRPr="00853C88">
        <w:rPr>
          <w:rFonts w:cs="David" w:hint="cs"/>
          <w:rtl/>
        </w:rPr>
        <w:t>.</w:t>
      </w:r>
      <w:r w:rsidR="00D51E6B" w:rsidRPr="00853C88">
        <w:rPr>
          <w:rFonts w:cs="David" w:hint="cs"/>
          <w:rtl/>
        </w:rPr>
        <w:t>1</w:t>
      </w:r>
      <w:r w:rsidR="00703BC0" w:rsidRPr="00853C88">
        <w:rPr>
          <w:rFonts w:cs="David" w:hint="cs"/>
          <w:rtl/>
        </w:rPr>
        <w:t xml:space="preserve"> ב"אחרות". </w:t>
      </w:r>
      <w:r w:rsidRPr="00853C88">
        <w:rPr>
          <w:rFonts w:cs="David" w:hint="cs"/>
          <w:rtl/>
        </w:rPr>
        <w:t xml:space="preserve"> </w:t>
      </w:r>
    </w:p>
    <w:p w:rsidR="00D51686" w:rsidRPr="00853C88" w:rsidRDefault="000F7C12" w:rsidP="00D51E6B">
      <w:pPr>
        <w:bidi/>
        <w:spacing w:line="360" w:lineRule="auto"/>
        <w:jc w:val="both"/>
        <w:rPr>
          <w:rFonts w:cs="David"/>
          <w:rtl/>
        </w:rPr>
      </w:pPr>
      <w:r w:rsidRPr="00853C88">
        <w:rPr>
          <w:rFonts w:cs="David" w:hint="cs"/>
          <w:rtl/>
        </w:rPr>
        <w:t>המגמות העיתיות במהלך 3</w:t>
      </w:r>
      <w:r w:rsidR="002B2B60" w:rsidRPr="00853C88">
        <w:rPr>
          <w:rFonts w:cs="David" w:hint="cs"/>
          <w:rtl/>
        </w:rPr>
        <w:t>6</w:t>
      </w:r>
      <w:r w:rsidRPr="00853C88">
        <w:rPr>
          <w:rFonts w:cs="David" w:hint="cs"/>
          <w:rtl/>
        </w:rPr>
        <w:t xml:space="preserve"> השנים 1980-201</w:t>
      </w:r>
      <w:r w:rsidR="002B2B60" w:rsidRPr="00853C88">
        <w:rPr>
          <w:rFonts w:cs="David" w:hint="cs"/>
          <w:rtl/>
        </w:rPr>
        <w:t>5</w:t>
      </w:r>
      <w:r w:rsidRPr="00853C88">
        <w:rPr>
          <w:rFonts w:cs="David" w:hint="cs"/>
          <w:rtl/>
        </w:rPr>
        <w:t xml:space="preserve"> </w:t>
      </w:r>
      <w:r w:rsidR="00383248" w:rsidRPr="00853C88">
        <w:rPr>
          <w:rFonts w:cs="David" w:hint="cs"/>
          <w:rtl/>
        </w:rPr>
        <w:t>נבחנו עבור יהודיות</w:t>
      </w:r>
      <w:r w:rsidR="00D51E6B" w:rsidRPr="00853C88">
        <w:rPr>
          <w:rFonts w:cs="David" w:hint="cs"/>
          <w:rtl/>
        </w:rPr>
        <w:t xml:space="preserve">; עבור ערביות נבחנה התקופה שבין 1990-2015, </w:t>
      </w:r>
      <w:r w:rsidR="00383248" w:rsidRPr="00853C88">
        <w:rPr>
          <w:rFonts w:cs="David" w:hint="cs"/>
          <w:rtl/>
        </w:rPr>
        <w:t>שכן ב</w:t>
      </w:r>
      <w:r w:rsidR="00D51E6B" w:rsidRPr="00853C88">
        <w:rPr>
          <w:rFonts w:cs="David" w:hint="cs"/>
          <w:rtl/>
        </w:rPr>
        <w:t xml:space="preserve">תקופה המוקדמת יותר היו שנים </w:t>
      </w:r>
      <w:r w:rsidR="00FD457D" w:rsidRPr="00853C88">
        <w:rPr>
          <w:rFonts w:cs="David" w:hint="cs"/>
          <w:rtl/>
        </w:rPr>
        <w:t xml:space="preserve">שבהן </w:t>
      </w:r>
      <w:r w:rsidR="00383248" w:rsidRPr="00853C88">
        <w:rPr>
          <w:rFonts w:cs="David" w:hint="cs"/>
          <w:rtl/>
        </w:rPr>
        <w:t xml:space="preserve">לא </w:t>
      </w:r>
      <w:r w:rsidR="00FD457D" w:rsidRPr="00853C88">
        <w:rPr>
          <w:rFonts w:cs="David" w:hint="cs"/>
          <w:rtl/>
        </w:rPr>
        <w:t xml:space="preserve">היה </w:t>
      </w:r>
      <w:r w:rsidR="007B066A" w:rsidRPr="00853C88">
        <w:rPr>
          <w:rFonts w:cs="David" w:hint="cs"/>
          <w:rtl/>
        </w:rPr>
        <w:t xml:space="preserve">אף </w:t>
      </w:r>
      <w:r w:rsidR="00FD457D" w:rsidRPr="00853C88">
        <w:rPr>
          <w:rFonts w:cs="David" w:hint="cs"/>
          <w:rtl/>
        </w:rPr>
        <w:t>דיווח</w:t>
      </w:r>
      <w:r w:rsidR="007B066A" w:rsidRPr="00853C88">
        <w:rPr>
          <w:rFonts w:cs="David" w:hint="cs"/>
          <w:rtl/>
        </w:rPr>
        <w:t>.</w:t>
      </w:r>
      <w:r w:rsidR="00383248" w:rsidRPr="00853C88">
        <w:rPr>
          <w:rFonts w:cs="David" w:hint="cs"/>
          <w:rtl/>
        </w:rPr>
        <w:t xml:space="preserve"> </w:t>
      </w:r>
    </w:p>
    <w:p w:rsidR="00D51E6B" w:rsidRPr="00853C88" w:rsidRDefault="00D51E6B" w:rsidP="00D51686">
      <w:pPr>
        <w:bidi/>
        <w:spacing w:line="360" w:lineRule="auto"/>
        <w:jc w:val="both"/>
        <w:rPr>
          <w:rFonts w:cs="David"/>
          <w:rtl/>
        </w:rPr>
      </w:pPr>
      <w:r w:rsidRPr="00853C88">
        <w:rPr>
          <w:rFonts w:cs="David" w:hint="cs"/>
          <w:rtl/>
        </w:rPr>
        <w:t xml:space="preserve">ביהודיות </w:t>
      </w:r>
      <w:r w:rsidR="00383248" w:rsidRPr="00853C88">
        <w:rPr>
          <w:rFonts w:cs="David" w:hint="cs"/>
          <w:rtl/>
        </w:rPr>
        <w:t>בשנים 1980-198</w:t>
      </w:r>
      <w:r w:rsidRPr="00853C88">
        <w:rPr>
          <w:rFonts w:cs="David" w:hint="cs"/>
          <w:rtl/>
        </w:rPr>
        <w:t>5</w:t>
      </w:r>
      <w:r w:rsidR="00853C88">
        <w:rPr>
          <w:rFonts w:cs="David" w:hint="cs"/>
          <w:rtl/>
        </w:rPr>
        <w:t>, ה</w:t>
      </w:r>
      <w:r w:rsidR="00383248" w:rsidRPr="00853C88">
        <w:rPr>
          <w:rFonts w:cs="David" w:hint="cs"/>
          <w:rtl/>
        </w:rPr>
        <w:t xml:space="preserve">היארעות </w:t>
      </w:r>
      <w:r w:rsidR="00853C88">
        <w:rPr>
          <w:rFonts w:cs="David" w:hint="cs"/>
          <w:rtl/>
        </w:rPr>
        <w:t xml:space="preserve">של </w:t>
      </w:r>
      <w:r w:rsidR="00383248" w:rsidRPr="00853C88">
        <w:rPr>
          <w:rFonts w:cs="David" w:hint="cs"/>
          <w:rtl/>
        </w:rPr>
        <w:t>סרטן ממוקד של השד הייתה יציבה. בשנים 19</w:t>
      </w:r>
      <w:r w:rsidR="007B066A" w:rsidRPr="00853C88">
        <w:rPr>
          <w:rFonts w:cs="David" w:hint="cs"/>
          <w:rtl/>
        </w:rPr>
        <w:t>8</w:t>
      </w:r>
      <w:r w:rsidRPr="00853C88">
        <w:rPr>
          <w:rFonts w:cs="David" w:hint="cs"/>
          <w:rtl/>
        </w:rPr>
        <w:t>5</w:t>
      </w:r>
      <w:r w:rsidR="00383248" w:rsidRPr="00853C88">
        <w:rPr>
          <w:rFonts w:cs="David" w:hint="cs"/>
          <w:rtl/>
        </w:rPr>
        <w:t>-199</w:t>
      </w:r>
      <w:r w:rsidRPr="00853C88">
        <w:rPr>
          <w:rFonts w:cs="David" w:hint="cs"/>
          <w:rtl/>
        </w:rPr>
        <w:t>0</w:t>
      </w:r>
      <w:r w:rsidR="00383248" w:rsidRPr="00853C88">
        <w:rPr>
          <w:rFonts w:cs="David" w:hint="cs"/>
          <w:rtl/>
        </w:rPr>
        <w:t xml:space="preserve"> נ</w:t>
      </w:r>
      <w:r w:rsidR="007B066A" w:rsidRPr="00853C88">
        <w:rPr>
          <w:rFonts w:cs="David" w:hint="cs"/>
          <w:rtl/>
        </w:rPr>
        <w:t xml:space="preserve">צפתה </w:t>
      </w:r>
      <w:r w:rsidR="00383248" w:rsidRPr="00853C88">
        <w:rPr>
          <w:rFonts w:cs="David" w:hint="cs"/>
          <w:rtl/>
        </w:rPr>
        <w:t>עלייה מובהקת:</w:t>
      </w:r>
      <w:r w:rsidR="00703BC0" w:rsidRPr="00853C88">
        <w:rPr>
          <w:rFonts w:cs="David" w:hint="cs"/>
          <w:rtl/>
        </w:rPr>
        <w:t xml:space="preserve"> </w:t>
      </w:r>
      <w:r w:rsidR="00703BC0" w:rsidRPr="00853C88">
        <w:rPr>
          <w:rFonts w:cs="David"/>
        </w:rPr>
        <w:t>APC=+</w:t>
      </w:r>
      <w:r w:rsidRPr="00853C88">
        <w:rPr>
          <w:rFonts w:cs="David"/>
        </w:rPr>
        <w:t>30</w:t>
      </w:r>
      <w:r w:rsidR="00703BC0" w:rsidRPr="00853C88">
        <w:rPr>
          <w:rFonts w:cs="David"/>
        </w:rPr>
        <w:t>.</w:t>
      </w:r>
      <w:r w:rsidRPr="00853C88">
        <w:rPr>
          <w:rFonts w:cs="David"/>
        </w:rPr>
        <w:t>7</w:t>
      </w:r>
      <w:r w:rsidR="00703BC0" w:rsidRPr="00853C88">
        <w:rPr>
          <w:rFonts w:cs="David"/>
        </w:rPr>
        <w:t>%</w:t>
      </w:r>
      <w:r w:rsidR="007B066A" w:rsidRPr="00853C88">
        <w:rPr>
          <w:rFonts w:cs="David" w:hint="cs"/>
          <w:rtl/>
        </w:rPr>
        <w:t>, שהתמתנה בשנים 199</w:t>
      </w:r>
      <w:r w:rsidRPr="00853C88">
        <w:rPr>
          <w:rFonts w:cs="David" w:hint="cs"/>
          <w:rtl/>
        </w:rPr>
        <w:t>0</w:t>
      </w:r>
      <w:r w:rsidR="007B066A" w:rsidRPr="00853C88">
        <w:rPr>
          <w:rFonts w:cs="David" w:hint="cs"/>
          <w:rtl/>
        </w:rPr>
        <w:t>-20</w:t>
      </w:r>
      <w:r w:rsidRPr="00853C88">
        <w:rPr>
          <w:rFonts w:cs="David" w:hint="cs"/>
          <w:rtl/>
        </w:rPr>
        <w:t>00</w:t>
      </w:r>
      <w:r w:rsidR="007B066A" w:rsidRPr="00853C88">
        <w:rPr>
          <w:rFonts w:cs="David" w:hint="cs"/>
          <w:rtl/>
        </w:rPr>
        <w:t xml:space="preserve"> </w:t>
      </w:r>
      <w:r w:rsidR="007B066A" w:rsidRPr="00853C88">
        <w:rPr>
          <w:rFonts w:cs="David"/>
        </w:rPr>
        <w:t>(APC=+</w:t>
      </w:r>
      <w:r w:rsidRPr="00853C88">
        <w:rPr>
          <w:rFonts w:cs="David"/>
        </w:rPr>
        <w:t>6</w:t>
      </w:r>
      <w:r w:rsidR="007B066A" w:rsidRPr="00853C88">
        <w:rPr>
          <w:rFonts w:cs="David"/>
        </w:rPr>
        <w:t>.</w:t>
      </w:r>
      <w:r w:rsidRPr="00853C88">
        <w:rPr>
          <w:rFonts w:cs="David"/>
        </w:rPr>
        <w:t>5</w:t>
      </w:r>
      <w:r w:rsidR="007B066A" w:rsidRPr="00853C88">
        <w:rPr>
          <w:rFonts w:cs="David"/>
        </w:rPr>
        <w:t>%)</w:t>
      </w:r>
      <w:r w:rsidRPr="00853C88">
        <w:rPr>
          <w:rFonts w:cs="David" w:hint="cs"/>
          <w:rtl/>
        </w:rPr>
        <w:t xml:space="preserve">, ועוד יותר בשנים 2000-2015 </w:t>
      </w:r>
      <w:r w:rsidRPr="00853C88">
        <w:rPr>
          <w:rFonts w:cs="David"/>
        </w:rPr>
        <w:t>(APC=+2.9%)</w:t>
      </w:r>
      <w:r w:rsidRPr="00853C88">
        <w:rPr>
          <w:rFonts w:cs="David" w:hint="cs"/>
          <w:rtl/>
        </w:rPr>
        <w:t xml:space="preserve">. </w:t>
      </w:r>
    </w:p>
    <w:p w:rsidR="000F7C12" w:rsidRPr="00853C88" w:rsidRDefault="007B066A" w:rsidP="00853C88">
      <w:pPr>
        <w:bidi/>
        <w:spacing w:line="360" w:lineRule="auto"/>
        <w:jc w:val="both"/>
        <w:rPr>
          <w:rFonts w:cs="David"/>
          <w:rtl/>
        </w:rPr>
      </w:pPr>
      <w:r w:rsidRPr="00853C88">
        <w:rPr>
          <w:rFonts w:cs="David" w:hint="cs"/>
          <w:rtl/>
        </w:rPr>
        <w:t>ב</w:t>
      </w:r>
      <w:r w:rsidR="00D51E6B" w:rsidRPr="00853C88">
        <w:rPr>
          <w:rFonts w:cs="David" w:hint="cs"/>
          <w:rtl/>
        </w:rPr>
        <w:t xml:space="preserve">נשים </w:t>
      </w:r>
      <w:r w:rsidRPr="00853C88">
        <w:rPr>
          <w:rFonts w:cs="David" w:hint="cs"/>
          <w:rtl/>
        </w:rPr>
        <w:t xml:space="preserve">ערביות </w:t>
      </w:r>
      <w:r w:rsidR="00D51E6B" w:rsidRPr="00853C88">
        <w:rPr>
          <w:rFonts w:cs="David" w:hint="cs"/>
          <w:rtl/>
        </w:rPr>
        <w:t xml:space="preserve">נצפתה עלייה חדה בשיעור ההיארעות </w:t>
      </w:r>
      <w:r w:rsidR="00853C88">
        <w:rPr>
          <w:rFonts w:cs="David" w:hint="cs"/>
          <w:rtl/>
        </w:rPr>
        <w:t>ב</w:t>
      </w:r>
      <w:r w:rsidR="00D51E6B" w:rsidRPr="00853C88">
        <w:rPr>
          <w:rFonts w:cs="David" w:hint="cs"/>
          <w:rtl/>
        </w:rPr>
        <w:t xml:space="preserve">שנים 1990-2006 </w:t>
      </w:r>
      <w:r w:rsidR="00D51E6B" w:rsidRPr="00853C88">
        <w:rPr>
          <w:rFonts w:cs="David"/>
        </w:rPr>
        <w:t>(APC=+11.3%)</w:t>
      </w:r>
      <w:r w:rsidR="00D51E6B" w:rsidRPr="00853C88">
        <w:rPr>
          <w:rFonts w:cs="David" w:hint="cs"/>
          <w:rtl/>
        </w:rPr>
        <w:t>, שהתייצבה לאחר מכן</w:t>
      </w:r>
      <w:r w:rsidRPr="00853C88">
        <w:rPr>
          <w:rFonts w:cs="David" w:hint="cs"/>
          <w:rtl/>
        </w:rPr>
        <w:t xml:space="preserve"> </w:t>
      </w:r>
      <w:r w:rsidR="00703BC0" w:rsidRPr="00853C88">
        <w:rPr>
          <w:rFonts w:cs="David" w:hint="cs"/>
          <w:rtl/>
        </w:rPr>
        <w:t xml:space="preserve"> </w:t>
      </w:r>
      <w:r w:rsidR="000F7C12" w:rsidRPr="00853C88">
        <w:rPr>
          <w:rFonts w:cs="David" w:hint="cs"/>
          <w:rtl/>
        </w:rPr>
        <w:t>(תרשים 2).</w:t>
      </w:r>
    </w:p>
    <w:p w:rsidR="00FD457D" w:rsidRPr="00853C88" w:rsidRDefault="00FD457D" w:rsidP="00853C88">
      <w:pPr>
        <w:bidi/>
        <w:spacing w:line="360" w:lineRule="auto"/>
        <w:jc w:val="both"/>
        <w:rPr>
          <w:rFonts w:cs="David"/>
          <w:rtl/>
        </w:rPr>
      </w:pPr>
      <w:r w:rsidRPr="00853C88">
        <w:rPr>
          <w:rFonts w:cs="David" w:hint="cs"/>
          <w:b/>
          <w:bCs/>
          <w:rtl/>
        </w:rPr>
        <w:t>חשוב לציין</w:t>
      </w:r>
      <w:r w:rsidRPr="00853C88">
        <w:rPr>
          <w:rFonts w:cs="David" w:hint="cs"/>
          <w:rtl/>
        </w:rPr>
        <w:t xml:space="preserve"> </w:t>
      </w:r>
      <w:r w:rsidRPr="00853C88">
        <w:rPr>
          <w:rFonts w:cs="David"/>
          <w:rtl/>
        </w:rPr>
        <w:t>–</w:t>
      </w:r>
      <w:r w:rsidRPr="00853C88">
        <w:rPr>
          <w:rFonts w:cs="David" w:hint="cs"/>
          <w:rtl/>
        </w:rPr>
        <w:t xml:space="preserve"> בשנת 1990 החל מסע פרסום של האגודה למלחמה בסרטן להעלאת המודעות לגילוי מוקדם של סרטן השד, ובשנת 1995 הושקה התכנית הלאומית המתבססת על בדיקות ממוגרפיה.</w:t>
      </w:r>
    </w:p>
    <w:p w:rsidR="00D51E6B" w:rsidRDefault="00D51E6B">
      <w:pPr>
        <w:widowControl/>
        <w:suppressAutoHyphens w:val="0"/>
        <w:rPr>
          <w:rFonts w:cs="David"/>
          <w:sz w:val="18"/>
          <w:szCs w:val="18"/>
          <w:highlight w:val="yellow"/>
          <w:rtl/>
        </w:rPr>
      </w:pPr>
      <w:r w:rsidRPr="00D51E6B">
        <w:rPr>
          <w:rFonts w:cs="David"/>
          <w:sz w:val="18"/>
          <w:szCs w:val="18"/>
          <w:rtl/>
        </w:rPr>
        <w:br w:type="page"/>
      </w:r>
    </w:p>
    <w:p w:rsidR="00C01016" w:rsidRPr="00C01016" w:rsidRDefault="00C01016" w:rsidP="002B2B60">
      <w:pPr>
        <w:bidi/>
        <w:spacing w:line="360" w:lineRule="auto"/>
        <w:jc w:val="both"/>
        <w:rPr>
          <w:rFonts w:cs="David"/>
          <w:sz w:val="18"/>
          <w:szCs w:val="18"/>
          <w:rtl/>
        </w:rPr>
      </w:pPr>
      <w:r w:rsidRPr="00D51E6B">
        <w:rPr>
          <w:rFonts w:cs="David" w:hint="cs"/>
          <w:sz w:val="18"/>
          <w:szCs w:val="18"/>
          <w:rtl/>
        </w:rPr>
        <w:lastRenderedPageBreak/>
        <w:t xml:space="preserve">תרשים 2: </w:t>
      </w:r>
      <w:r w:rsidR="00FD457D" w:rsidRPr="00D51E6B">
        <w:rPr>
          <w:rFonts w:cs="David" w:hint="cs"/>
          <w:b/>
          <w:bCs/>
          <w:sz w:val="18"/>
          <w:szCs w:val="18"/>
          <w:rtl/>
        </w:rPr>
        <w:t>מגמות ב</w:t>
      </w:r>
      <w:r w:rsidRPr="00D51E6B">
        <w:rPr>
          <w:rFonts w:cs="David" w:hint="cs"/>
          <w:b/>
          <w:bCs/>
          <w:sz w:val="18"/>
          <w:szCs w:val="18"/>
          <w:rtl/>
        </w:rPr>
        <w:t>היארעות סרטן ממוקד של השד בנשים, לפי קבוצת אוכלוסייה, ישראל 1980-201</w:t>
      </w:r>
      <w:r w:rsidR="002B2B60" w:rsidRPr="00D51E6B">
        <w:rPr>
          <w:rFonts w:cs="David" w:hint="cs"/>
          <w:b/>
          <w:bCs/>
          <w:sz w:val="18"/>
          <w:szCs w:val="18"/>
          <w:rtl/>
        </w:rPr>
        <w:t>5</w:t>
      </w:r>
      <w:r w:rsidR="00FD457D" w:rsidRPr="00D51E6B">
        <w:rPr>
          <w:rFonts w:cs="David" w:hint="cs"/>
          <w:b/>
          <w:bCs/>
          <w:sz w:val="18"/>
          <w:szCs w:val="18"/>
          <w:rtl/>
        </w:rPr>
        <w:t xml:space="preserve"> </w:t>
      </w:r>
      <w:r w:rsidR="00FD457D" w:rsidRPr="00D51E6B">
        <w:rPr>
          <w:rFonts w:cs="David"/>
          <w:color w:val="4F81BD" w:themeColor="accent1"/>
          <w:sz w:val="18"/>
          <w:szCs w:val="18"/>
        </w:rPr>
        <w:t>(Jointpoint)</w:t>
      </w:r>
    </w:p>
    <w:p w:rsidR="00AF729B" w:rsidRDefault="00D51E6B" w:rsidP="000A1408">
      <w:pPr>
        <w:bidi/>
        <w:spacing w:line="360" w:lineRule="auto"/>
        <w:jc w:val="both"/>
        <w:rPr>
          <w:noProof/>
          <w:rtl/>
          <w:lang w:eastAsia="en-US"/>
        </w:rPr>
      </w:pPr>
      <w:r>
        <w:rPr>
          <w:noProof/>
          <w:lang w:eastAsia="en-US"/>
        </w:rPr>
        <w:drawing>
          <wp:inline distT="0" distB="0" distL="0" distR="0" wp14:anchorId="7F593046" wp14:editId="1B9DEFCF">
            <wp:extent cx="5516880" cy="3467100"/>
            <wp:effectExtent l="0" t="0" r="26670" b="1905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2F85" w:rsidRPr="003B6929" w:rsidRDefault="000E2F85" w:rsidP="00AF729B">
      <w:pPr>
        <w:bidi/>
        <w:spacing w:line="360" w:lineRule="auto"/>
        <w:jc w:val="both"/>
        <w:rPr>
          <w:rFonts w:cs="David"/>
          <w:rtl/>
        </w:rPr>
      </w:pPr>
    </w:p>
    <w:p w:rsidR="0061780A" w:rsidRDefault="0061780A" w:rsidP="000439FD">
      <w:pPr>
        <w:bidi/>
        <w:spacing w:line="360" w:lineRule="auto"/>
        <w:jc w:val="both"/>
        <w:rPr>
          <w:rFonts w:cs="David"/>
          <w:b/>
          <w:bCs/>
          <w:color w:val="0000FF"/>
          <w:sz w:val="28"/>
          <w:szCs w:val="28"/>
          <w:rtl/>
        </w:rPr>
      </w:pPr>
      <w:r w:rsidRPr="003B6929">
        <w:rPr>
          <w:rFonts w:cs="David" w:hint="cs"/>
          <w:b/>
          <w:bCs/>
          <w:color w:val="0000FF"/>
          <w:sz w:val="28"/>
          <w:szCs w:val="28"/>
        </w:rPr>
        <w:sym w:font="Wingdings 3" w:char="F074"/>
      </w:r>
      <w:r w:rsidRPr="003B6929">
        <w:rPr>
          <w:rFonts w:cs="David" w:hint="cs"/>
          <w:b/>
          <w:bCs/>
          <w:color w:val="0000FF"/>
          <w:sz w:val="28"/>
          <w:szCs w:val="28"/>
          <w:rtl/>
        </w:rPr>
        <w:t xml:space="preserve"> </w:t>
      </w:r>
      <w:r w:rsidR="000439FD">
        <w:rPr>
          <w:rFonts w:cs="David" w:hint="cs"/>
          <w:b/>
          <w:bCs/>
          <w:color w:val="0000FF"/>
          <w:kern w:val="28"/>
          <w:sz w:val="28"/>
          <w:szCs w:val="28"/>
          <w:rtl/>
        </w:rPr>
        <w:t xml:space="preserve">שלב המחלה בעת האבחנה </w:t>
      </w:r>
    </w:p>
    <w:p w:rsidR="001332B2" w:rsidRPr="00853C88" w:rsidRDefault="001332B2" w:rsidP="00703BC0">
      <w:pPr>
        <w:bidi/>
        <w:spacing w:line="360" w:lineRule="auto"/>
        <w:jc w:val="both"/>
        <w:rPr>
          <w:rFonts w:cs="David"/>
          <w:rtl/>
        </w:rPr>
      </w:pPr>
      <w:r w:rsidRPr="00853C88">
        <w:rPr>
          <w:rFonts w:cs="David" w:hint="cs"/>
          <w:rtl/>
        </w:rPr>
        <w:t>גילוי מוקדם באמצעות תכניות ס</w:t>
      </w:r>
      <w:r w:rsidR="00703BC0" w:rsidRPr="00853C88">
        <w:rPr>
          <w:rFonts w:cs="David" w:hint="cs"/>
          <w:rtl/>
        </w:rPr>
        <w:t xml:space="preserve">ינון </w:t>
      </w:r>
      <w:r w:rsidRPr="00853C88">
        <w:rPr>
          <w:rFonts w:cs="David"/>
        </w:rPr>
        <w:t>(screening)</w:t>
      </w:r>
      <w:r w:rsidRPr="00853C88">
        <w:rPr>
          <w:rFonts w:cs="David" w:hint="cs"/>
          <w:rtl/>
        </w:rPr>
        <w:t xml:space="preserve"> </w:t>
      </w:r>
      <w:r w:rsidR="002D6165" w:rsidRPr="00853C88">
        <w:rPr>
          <w:rFonts w:cs="David" w:hint="cs"/>
          <w:rtl/>
        </w:rPr>
        <w:t>הוכח כמפחית את ה</w:t>
      </w:r>
      <w:r w:rsidRPr="00853C88">
        <w:rPr>
          <w:rFonts w:cs="David" w:hint="cs"/>
          <w:rtl/>
        </w:rPr>
        <w:t>תמותה מסרטן השד ו</w:t>
      </w:r>
      <w:r w:rsidR="002D6165" w:rsidRPr="00853C88">
        <w:rPr>
          <w:rFonts w:cs="David" w:hint="cs"/>
          <w:rtl/>
        </w:rPr>
        <w:t xml:space="preserve">כמאפשר לשנות את </w:t>
      </w:r>
      <w:r w:rsidRPr="00853C88">
        <w:rPr>
          <w:rFonts w:cs="David" w:hint="cs"/>
          <w:rtl/>
        </w:rPr>
        <w:t>מהלך המחלה. התכנית בישראל</w:t>
      </w:r>
      <w:r w:rsidR="002D6165" w:rsidRPr="00853C88">
        <w:rPr>
          <w:rFonts w:cs="David" w:hint="cs"/>
          <w:rtl/>
        </w:rPr>
        <w:t xml:space="preserve"> הוקמה </w:t>
      </w:r>
      <w:r w:rsidR="00DA330C" w:rsidRPr="00853C88">
        <w:rPr>
          <w:rFonts w:cs="David" w:hint="cs"/>
          <w:rtl/>
        </w:rPr>
        <w:t xml:space="preserve">בתחילת שנות ה-90' </w:t>
      </w:r>
      <w:r w:rsidR="00383248" w:rsidRPr="00853C88">
        <w:rPr>
          <w:rFonts w:cs="David" w:hint="cs"/>
          <w:rtl/>
        </w:rPr>
        <w:t xml:space="preserve">ביוזמת האגודה למלחמה בסרטן ובשיתוף משרד הבריאות </w:t>
      </w:r>
      <w:r w:rsidR="00DA330C" w:rsidRPr="00853C88">
        <w:rPr>
          <w:rFonts w:cs="David" w:hint="cs"/>
          <w:rtl/>
        </w:rPr>
        <w:t>על בסיס ראיות מניסויים קליניים וקווים מנחים של גופים מקצועיים</w:t>
      </w:r>
      <w:r w:rsidR="002D6165" w:rsidRPr="00853C88">
        <w:rPr>
          <w:rFonts w:cs="David" w:hint="cs"/>
          <w:rtl/>
        </w:rPr>
        <w:t xml:space="preserve">. </w:t>
      </w:r>
      <w:r w:rsidR="007535D3" w:rsidRPr="00853C88">
        <w:rPr>
          <w:rFonts w:cs="David" w:hint="cs"/>
          <w:rtl/>
        </w:rPr>
        <w:t>ה</w:t>
      </w:r>
      <w:r w:rsidR="00383248" w:rsidRPr="00853C88">
        <w:rPr>
          <w:rFonts w:cs="David" w:hint="cs"/>
          <w:rtl/>
        </w:rPr>
        <w:t xml:space="preserve">תכנית </w:t>
      </w:r>
      <w:r w:rsidR="00703BC0" w:rsidRPr="00853C88">
        <w:rPr>
          <w:rFonts w:cs="David" w:hint="cs"/>
          <w:rtl/>
        </w:rPr>
        <w:t>מקיפה נ</w:t>
      </w:r>
      <w:r w:rsidR="007535D3" w:rsidRPr="00853C88">
        <w:rPr>
          <w:rFonts w:cs="David" w:hint="cs"/>
          <w:rtl/>
        </w:rPr>
        <w:t xml:space="preserve">שים בגילאי 50-74 בסיכון ממוצע למחלה, </w:t>
      </w:r>
      <w:r w:rsidR="00703BC0" w:rsidRPr="00853C88">
        <w:rPr>
          <w:rFonts w:cs="David" w:hint="cs"/>
          <w:rtl/>
        </w:rPr>
        <w:t xml:space="preserve">עבורן מומלצת </w:t>
      </w:r>
      <w:r w:rsidR="007535D3" w:rsidRPr="00853C88">
        <w:rPr>
          <w:rFonts w:cs="David" w:hint="cs"/>
          <w:rtl/>
        </w:rPr>
        <w:t>בדיקת ממוגרפיה שגרתית אחת לשנתיים</w:t>
      </w:r>
      <w:r w:rsidR="00703BC0" w:rsidRPr="00853C88">
        <w:rPr>
          <w:rFonts w:cs="David" w:hint="cs"/>
          <w:rtl/>
        </w:rPr>
        <w:t xml:space="preserve">, ונשים בנות 40 ומעלה בסיכון מוגבר למחלה מסיבות שונות, עבורן מומלצת ממוגרפיה אחת לשנה. </w:t>
      </w:r>
      <w:r w:rsidRPr="00853C88">
        <w:rPr>
          <w:rFonts w:cs="David" w:hint="cs"/>
          <w:rtl/>
        </w:rPr>
        <w:t xml:space="preserve">אחד מהפרמטרים ליעילותה של תכנית </w:t>
      </w:r>
      <w:r w:rsidR="00703BC0" w:rsidRPr="00853C88">
        <w:rPr>
          <w:rFonts w:cs="David" w:hint="cs"/>
          <w:rtl/>
        </w:rPr>
        <w:t>סינון</w:t>
      </w:r>
      <w:r w:rsidRPr="00853C88">
        <w:rPr>
          <w:rFonts w:cs="David" w:hint="cs"/>
          <w:rtl/>
        </w:rPr>
        <w:t xml:space="preserve"> הוא עלייה ב</w:t>
      </w:r>
      <w:r w:rsidR="00846291" w:rsidRPr="00853C88">
        <w:rPr>
          <w:rFonts w:cs="David" w:hint="cs"/>
          <w:rtl/>
        </w:rPr>
        <w:t xml:space="preserve">שיעור </w:t>
      </w:r>
      <w:r w:rsidRPr="00853C88">
        <w:rPr>
          <w:rFonts w:cs="David" w:hint="cs"/>
          <w:rtl/>
        </w:rPr>
        <w:t>הנשים שמאובחנות בשלב מחלה מוקדם.</w:t>
      </w:r>
      <w:r w:rsidR="002D6165" w:rsidRPr="00853C88">
        <w:rPr>
          <w:rFonts w:cs="David" w:hint="cs"/>
          <w:rtl/>
        </w:rPr>
        <w:t xml:space="preserve"> נתונים לגבי שלב המחלה בעת האבחנה קיימים</w:t>
      </w:r>
      <w:r w:rsidR="009A2FE2" w:rsidRPr="00853C88">
        <w:rPr>
          <w:rFonts w:cs="David" w:hint="cs"/>
          <w:rtl/>
        </w:rPr>
        <w:t xml:space="preserve"> ברישום הלאומי לסרטן </w:t>
      </w:r>
      <w:r w:rsidR="002D6165" w:rsidRPr="00853C88">
        <w:rPr>
          <w:rFonts w:cs="David" w:hint="cs"/>
          <w:rtl/>
        </w:rPr>
        <w:t xml:space="preserve">עבור </w:t>
      </w:r>
      <w:r w:rsidR="003D0FDF" w:rsidRPr="00853C88">
        <w:rPr>
          <w:rFonts w:cs="David" w:hint="cs"/>
          <w:rtl/>
        </w:rPr>
        <w:t>כ75%</w:t>
      </w:r>
      <w:r w:rsidR="002D6165" w:rsidRPr="00853C88">
        <w:rPr>
          <w:rFonts w:cs="David" w:hint="cs"/>
          <w:rtl/>
        </w:rPr>
        <w:t xml:space="preserve"> מכלל המאובחנות עם המחלה</w:t>
      </w:r>
      <w:r w:rsidR="003D0FDF" w:rsidRPr="00853C88">
        <w:rPr>
          <w:rFonts w:cs="David" w:hint="cs"/>
          <w:rtl/>
        </w:rPr>
        <w:t xml:space="preserve"> מאז שנת 2000</w:t>
      </w:r>
      <w:r w:rsidR="002D6165" w:rsidRPr="00853C88">
        <w:rPr>
          <w:rFonts w:cs="David" w:hint="cs"/>
          <w:rtl/>
        </w:rPr>
        <w:t>.</w:t>
      </w:r>
    </w:p>
    <w:p w:rsidR="001332B2" w:rsidRPr="00853C88" w:rsidRDefault="00FB0219" w:rsidP="003C4D28">
      <w:pPr>
        <w:bidi/>
        <w:spacing w:line="360" w:lineRule="auto"/>
        <w:jc w:val="both"/>
        <w:rPr>
          <w:rFonts w:cs="David"/>
          <w:b/>
          <w:bCs/>
          <w:rtl/>
        </w:rPr>
      </w:pPr>
      <w:r w:rsidRPr="00853C88">
        <w:rPr>
          <w:rFonts w:cs="David" w:hint="cs"/>
          <w:rtl/>
        </w:rPr>
        <w:t>בקרב החול</w:t>
      </w:r>
      <w:r w:rsidR="00DA330C" w:rsidRPr="00853C88">
        <w:rPr>
          <w:rFonts w:cs="David" w:hint="cs"/>
          <w:rtl/>
        </w:rPr>
        <w:t>ות עבורן קיים המידע</w:t>
      </w:r>
      <w:r w:rsidRPr="00853C88">
        <w:rPr>
          <w:rFonts w:cs="David" w:hint="cs"/>
          <w:rtl/>
        </w:rPr>
        <w:t xml:space="preserve">, </w:t>
      </w:r>
      <w:r w:rsidR="00DA330C" w:rsidRPr="00853C88">
        <w:rPr>
          <w:rFonts w:cs="David" w:hint="cs"/>
          <w:rtl/>
        </w:rPr>
        <w:t xml:space="preserve">עלה </w:t>
      </w:r>
      <w:r w:rsidR="002D6165" w:rsidRPr="00853C88">
        <w:rPr>
          <w:rFonts w:cs="David" w:hint="cs"/>
          <w:rtl/>
        </w:rPr>
        <w:t>בשנים האחרונות אחוז הנשים שמאובחנות עם מחלה בשלב מוקדם (ממוקד</w:t>
      </w:r>
      <w:r w:rsidR="001B4045" w:rsidRPr="00853C88">
        <w:rPr>
          <w:rFonts w:cs="David" w:hint="cs"/>
          <w:rtl/>
        </w:rPr>
        <w:t>,</w:t>
      </w:r>
      <w:r w:rsidR="002D6165" w:rsidRPr="00853C88">
        <w:rPr>
          <w:rFonts w:cs="David" w:hint="cs"/>
          <w:rtl/>
        </w:rPr>
        <w:t xml:space="preserve"> או </w:t>
      </w:r>
      <w:r w:rsidR="00EC7F21" w:rsidRPr="00853C88">
        <w:rPr>
          <w:rFonts w:cs="David" w:hint="cs"/>
          <w:rtl/>
        </w:rPr>
        <w:t>עם</w:t>
      </w:r>
      <w:r w:rsidR="002D6165" w:rsidRPr="00853C88">
        <w:rPr>
          <w:rFonts w:cs="David" w:hint="cs"/>
          <w:rtl/>
        </w:rPr>
        <w:t xml:space="preserve"> התפשטות מקומית</w:t>
      </w:r>
      <w:r w:rsidR="00EC7F21" w:rsidRPr="00853C88">
        <w:rPr>
          <w:rFonts w:cs="David" w:hint="cs"/>
          <w:rtl/>
        </w:rPr>
        <w:t xml:space="preserve"> בלבד</w:t>
      </w:r>
      <w:r w:rsidR="002D6165" w:rsidRPr="00853C88">
        <w:rPr>
          <w:rFonts w:cs="David" w:hint="cs"/>
          <w:rtl/>
        </w:rPr>
        <w:t>): בשנ</w:t>
      </w:r>
      <w:r w:rsidR="00E77366" w:rsidRPr="00853C88">
        <w:rPr>
          <w:rFonts w:cs="David" w:hint="cs"/>
          <w:rtl/>
        </w:rPr>
        <w:t xml:space="preserve">ת </w:t>
      </w:r>
      <w:r w:rsidR="00C05A77" w:rsidRPr="00853C88">
        <w:rPr>
          <w:rFonts w:cs="David" w:hint="cs"/>
          <w:rtl/>
        </w:rPr>
        <w:t>201</w:t>
      </w:r>
      <w:r w:rsidR="002B2B60" w:rsidRPr="00853C88">
        <w:rPr>
          <w:rFonts w:cs="David" w:hint="cs"/>
          <w:rtl/>
        </w:rPr>
        <w:t>5</w:t>
      </w:r>
      <w:r w:rsidR="00FE246C" w:rsidRPr="00853C88">
        <w:rPr>
          <w:rFonts w:cs="David" w:hint="cs"/>
          <w:rtl/>
        </w:rPr>
        <w:t>,</w:t>
      </w:r>
      <w:r w:rsidR="002D6165" w:rsidRPr="00853C88">
        <w:rPr>
          <w:rFonts w:cs="David" w:hint="cs"/>
          <w:rtl/>
        </w:rPr>
        <w:t xml:space="preserve"> </w:t>
      </w:r>
      <w:r w:rsidR="009D5156" w:rsidRPr="00853C88">
        <w:rPr>
          <w:rFonts w:cs="David" w:hint="cs"/>
          <w:rtl/>
        </w:rPr>
        <w:t>6</w:t>
      </w:r>
      <w:r w:rsidR="00D51E6B" w:rsidRPr="00853C88">
        <w:rPr>
          <w:rFonts w:cs="David" w:hint="cs"/>
          <w:rtl/>
        </w:rPr>
        <w:t>4</w:t>
      </w:r>
      <w:r w:rsidR="009D5156" w:rsidRPr="00853C88">
        <w:rPr>
          <w:rFonts w:cs="David" w:hint="cs"/>
          <w:rtl/>
        </w:rPr>
        <w:t>%</w:t>
      </w:r>
      <w:r w:rsidR="002D6165" w:rsidRPr="00853C88">
        <w:rPr>
          <w:rFonts w:cs="David" w:hint="cs"/>
          <w:rtl/>
        </w:rPr>
        <w:t xml:space="preserve"> מכלל החולות החדשות אובחנו עם מחלה בשלב זה, לעומת </w:t>
      </w:r>
      <w:r w:rsidR="00A10BD1" w:rsidRPr="00853C88">
        <w:rPr>
          <w:rFonts w:cs="David" w:hint="cs"/>
          <w:rtl/>
        </w:rPr>
        <w:t xml:space="preserve">58% </w:t>
      </w:r>
      <w:r w:rsidR="002D6165" w:rsidRPr="00853C88">
        <w:rPr>
          <w:rFonts w:cs="David" w:hint="cs"/>
          <w:rtl/>
        </w:rPr>
        <w:t xml:space="preserve">מהחולות שאובחנו </w:t>
      </w:r>
      <w:r w:rsidR="00E77366" w:rsidRPr="00853C88">
        <w:rPr>
          <w:rFonts w:cs="David" w:hint="cs"/>
          <w:rtl/>
        </w:rPr>
        <w:t>בשנת 2005</w:t>
      </w:r>
      <w:r w:rsidR="002D6165" w:rsidRPr="00853C88">
        <w:rPr>
          <w:rFonts w:cs="David" w:hint="cs"/>
          <w:rtl/>
        </w:rPr>
        <w:t xml:space="preserve">. </w:t>
      </w:r>
      <w:r w:rsidR="009D5156" w:rsidRPr="00853C88">
        <w:rPr>
          <w:rFonts w:cs="David" w:hint="cs"/>
          <w:rtl/>
        </w:rPr>
        <w:t>כ</w:t>
      </w:r>
      <w:r w:rsidR="002D6165" w:rsidRPr="00853C88">
        <w:rPr>
          <w:rFonts w:cs="David" w:hint="cs"/>
          <w:rtl/>
        </w:rPr>
        <w:t xml:space="preserve">שליש </w:t>
      </w:r>
      <w:r w:rsidR="00DA330C" w:rsidRPr="00853C88">
        <w:rPr>
          <w:rFonts w:cs="David" w:hint="cs"/>
          <w:rtl/>
        </w:rPr>
        <w:t>(</w:t>
      </w:r>
      <w:r w:rsidR="00E77366" w:rsidRPr="00853C88">
        <w:rPr>
          <w:rFonts w:cs="David" w:hint="cs"/>
          <w:rtl/>
        </w:rPr>
        <w:t>3</w:t>
      </w:r>
      <w:r w:rsidR="007B066A" w:rsidRPr="00853C88">
        <w:rPr>
          <w:rFonts w:cs="David" w:hint="cs"/>
          <w:rtl/>
        </w:rPr>
        <w:t>3</w:t>
      </w:r>
      <w:r w:rsidR="00DA330C" w:rsidRPr="00853C88">
        <w:rPr>
          <w:rFonts w:cs="David" w:hint="cs"/>
          <w:rtl/>
        </w:rPr>
        <w:t xml:space="preserve">%) </w:t>
      </w:r>
      <w:r w:rsidR="002D6165" w:rsidRPr="00853C88">
        <w:rPr>
          <w:rFonts w:cs="David" w:hint="cs"/>
          <w:rtl/>
        </w:rPr>
        <w:t xml:space="preserve">מהחולות החדשות </w:t>
      </w:r>
      <w:r w:rsidR="00E77366" w:rsidRPr="00853C88">
        <w:rPr>
          <w:rFonts w:cs="David" w:hint="cs"/>
          <w:rtl/>
        </w:rPr>
        <w:t>בשנת 20</w:t>
      </w:r>
      <w:r w:rsidR="002B2B60" w:rsidRPr="00853C88">
        <w:rPr>
          <w:rFonts w:cs="David" w:hint="cs"/>
          <w:rtl/>
        </w:rPr>
        <w:t>15</w:t>
      </w:r>
      <w:r w:rsidR="002D6165" w:rsidRPr="00853C88">
        <w:rPr>
          <w:rFonts w:cs="David" w:hint="cs"/>
          <w:rtl/>
        </w:rPr>
        <w:t xml:space="preserve"> אובחנו עם מחלה מפושטת אזורית (</w:t>
      </w:r>
      <w:r w:rsidR="00EC7F21" w:rsidRPr="00853C88">
        <w:rPr>
          <w:rFonts w:cs="David" w:hint="cs"/>
          <w:rtl/>
        </w:rPr>
        <w:t>ל</w:t>
      </w:r>
      <w:r w:rsidR="002D6165" w:rsidRPr="00853C88">
        <w:rPr>
          <w:rFonts w:cs="David" w:hint="cs"/>
          <w:rtl/>
        </w:rPr>
        <w:t xml:space="preserve">רקמות סמוכות ו/או </w:t>
      </w:r>
      <w:r w:rsidR="00EC7F21" w:rsidRPr="00853C88">
        <w:rPr>
          <w:rFonts w:cs="David" w:hint="cs"/>
          <w:rtl/>
        </w:rPr>
        <w:t>ל</w:t>
      </w:r>
      <w:r w:rsidR="002D6165" w:rsidRPr="00853C88">
        <w:rPr>
          <w:rFonts w:cs="David" w:hint="cs"/>
          <w:rtl/>
        </w:rPr>
        <w:t xml:space="preserve">בלוטות </w:t>
      </w:r>
      <w:r w:rsidR="00EC7F21" w:rsidRPr="00853C88">
        <w:rPr>
          <w:rFonts w:cs="David" w:hint="cs"/>
          <w:rtl/>
        </w:rPr>
        <w:t>ה</w:t>
      </w:r>
      <w:r w:rsidR="002D6165" w:rsidRPr="00853C88">
        <w:rPr>
          <w:rFonts w:cs="David" w:hint="cs"/>
          <w:rtl/>
        </w:rPr>
        <w:t xml:space="preserve">לימפה), </w:t>
      </w:r>
      <w:r w:rsidR="00DA330C" w:rsidRPr="00853C88">
        <w:rPr>
          <w:rFonts w:cs="David" w:hint="cs"/>
          <w:rtl/>
        </w:rPr>
        <w:t>לעומת 3</w:t>
      </w:r>
      <w:r w:rsidR="00E77366" w:rsidRPr="00853C88">
        <w:rPr>
          <w:rFonts w:cs="David" w:hint="cs"/>
          <w:rtl/>
        </w:rPr>
        <w:t>8</w:t>
      </w:r>
      <w:r w:rsidR="00DA330C" w:rsidRPr="00853C88">
        <w:rPr>
          <w:rFonts w:cs="David" w:hint="cs"/>
          <w:rtl/>
        </w:rPr>
        <w:t>% בשני</w:t>
      </w:r>
      <w:r w:rsidR="00661C43" w:rsidRPr="00853C88">
        <w:rPr>
          <w:rFonts w:cs="David" w:hint="cs"/>
          <w:rtl/>
        </w:rPr>
        <w:t xml:space="preserve">ם </w:t>
      </w:r>
      <w:r w:rsidR="00E77366" w:rsidRPr="00853C88">
        <w:rPr>
          <w:rFonts w:cs="David" w:hint="cs"/>
          <w:rtl/>
        </w:rPr>
        <w:t>200</w:t>
      </w:r>
      <w:r w:rsidR="00661C43" w:rsidRPr="00853C88">
        <w:rPr>
          <w:rFonts w:cs="David" w:hint="cs"/>
          <w:rtl/>
        </w:rPr>
        <w:t>5</w:t>
      </w:r>
      <w:r w:rsidR="00DA330C" w:rsidRPr="00853C88">
        <w:rPr>
          <w:rFonts w:cs="David" w:hint="cs"/>
          <w:rtl/>
        </w:rPr>
        <w:t xml:space="preserve">. </w:t>
      </w:r>
      <w:r w:rsidR="002D6165" w:rsidRPr="00853C88">
        <w:rPr>
          <w:rFonts w:cs="David" w:hint="cs"/>
          <w:rtl/>
        </w:rPr>
        <w:t xml:space="preserve">שיעור החולות שאובחנו עם מחלה גרורתית </w:t>
      </w:r>
      <w:r w:rsidR="00DA330C" w:rsidRPr="00853C88">
        <w:rPr>
          <w:rFonts w:cs="David" w:hint="cs"/>
          <w:rtl/>
        </w:rPr>
        <w:t>ב-</w:t>
      </w:r>
      <w:r w:rsidR="00E77366" w:rsidRPr="00853C88">
        <w:rPr>
          <w:rFonts w:cs="David" w:hint="cs"/>
          <w:rtl/>
        </w:rPr>
        <w:t>201</w:t>
      </w:r>
      <w:r w:rsidR="002B2B60" w:rsidRPr="00853C88">
        <w:rPr>
          <w:rFonts w:cs="David" w:hint="cs"/>
          <w:rtl/>
        </w:rPr>
        <w:t>5</w:t>
      </w:r>
      <w:r w:rsidR="00DA330C" w:rsidRPr="00853C88">
        <w:rPr>
          <w:rFonts w:cs="David" w:hint="cs"/>
          <w:rtl/>
        </w:rPr>
        <w:t xml:space="preserve"> </w:t>
      </w:r>
      <w:r w:rsidR="005B1F9F" w:rsidRPr="00853C88">
        <w:rPr>
          <w:rFonts w:cs="David" w:hint="cs"/>
          <w:rtl/>
        </w:rPr>
        <w:t xml:space="preserve">נמוך </w:t>
      </w:r>
      <w:r w:rsidR="002D6165" w:rsidRPr="00853C88">
        <w:rPr>
          <w:rFonts w:cs="David" w:hint="cs"/>
          <w:rtl/>
        </w:rPr>
        <w:t xml:space="preserve"> ועומד על </w:t>
      </w:r>
      <w:r w:rsidR="00E77366" w:rsidRPr="00853C88">
        <w:rPr>
          <w:rFonts w:cs="David" w:hint="cs"/>
          <w:rtl/>
        </w:rPr>
        <w:t>2.</w:t>
      </w:r>
      <w:r w:rsidR="003C4D28" w:rsidRPr="00853C88">
        <w:rPr>
          <w:rFonts w:cs="David" w:hint="cs"/>
          <w:rtl/>
        </w:rPr>
        <w:t>6</w:t>
      </w:r>
      <w:r w:rsidR="00E77366" w:rsidRPr="00853C88">
        <w:rPr>
          <w:rFonts w:cs="David" w:hint="cs"/>
          <w:rtl/>
        </w:rPr>
        <w:t xml:space="preserve">%, לעומת </w:t>
      </w:r>
      <w:r w:rsidR="007B066A" w:rsidRPr="00853C88">
        <w:rPr>
          <w:rFonts w:cs="David" w:hint="cs"/>
          <w:rtl/>
        </w:rPr>
        <w:t>3.6</w:t>
      </w:r>
      <w:r w:rsidR="00E77366" w:rsidRPr="00853C88">
        <w:rPr>
          <w:rFonts w:cs="David" w:hint="cs"/>
          <w:rtl/>
        </w:rPr>
        <w:t>% בשנת 2005.</w:t>
      </w:r>
    </w:p>
    <w:p w:rsidR="00846291" w:rsidRPr="001332B2" w:rsidRDefault="00846291" w:rsidP="00846291">
      <w:pPr>
        <w:bidi/>
        <w:spacing w:line="360" w:lineRule="auto"/>
        <w:jc w:val="both"/>
        <w:rPr>
          <w:rFonts w:cs="David"/>
          <w:rtl/>
        </w:rPr>
      </w:pPr>
    </w:p>
    <w:p w:rsidR="000439FD" w:rsidRDefault="000439FD" w:rsidP="000A67F0">
      <w:pPr>
        <w:bidi/>
        <w:spacing w:line="360" w:lineRule="auto"/>
        <w:jc w:val="both"/>
        <w:rPr>
          <w:rFonts w:cs="David"/>
          <w:b/>
          <w:bCs/>
          <w:color w:val="0000FF"/>
          <w:sz w:val="28"/>
          <w:szCs w:val="28"/>
          <w:rtl/>
        </w:rPr>
      </w:pPr>
      <w:r w:rsidRPr="003B6929">
        <w:rPr>
          <w:rFonts w:cs="David" w:hint="cs"/>
          <w:b/>
          <w:bCs/>
          <w:color w:val="0000FF"/>
          <w:sz w:val="28"/>
          <w:szCs w:val="28"/>
        </w:rPr>
        <w:sym w:font="Wingdings 3" w:char="F074"/>
      </w:r>
      <w:r w:rsidRPr="003B6929">
        <w:rPr>
          <w:rFonts w:cs="David" w:hint="cs"/>
          <w:b/>
          <w:bCs/>
          <w:color w:val="0000FF"/>
          <w:sz w:val="28"/>
          <w:szCs w:val="28"/>
          <w:rtl/>
        </w:rPr>
        <w:t xml:space="preserve"> </w:t>
      </w:r>
      <w:r w:rsidRPr="003B6929">
        <w:rPr>
          <w:rFonts w:cs="David" w:hint="cs"/>
          <w:b/>
          <w:bCs/>
          <w:color w:val="0000FF"/>
          <w:kern w:val="28"/>
          <w:sz w:val="28"/>
          <w:szCs w:val="28"/>
          <w:rtl/>
        </w:rPr>
        <w:t>שיעורי ה</w:t>
      </w:r>
      <w:r w:rsidR="000A67F0">
        <w:rPr>
          <w:rFonts w:cs="David" w:hint="cs"/>
          <w:b/>
          <w:bCs/>
          <w:color w:val="0000FF"/>
          <w:kern w:val="28"/>
          <w:sz w:val="28"/>
          <w:szCs w:val="28"/>
          <w:rtl/>
        </w:rPr>
        <w:t xml:space="preserve">היארעות של </w:t>
      </w:r>
      <w:r w:rsidRPr="003B6929">
        <w:rPr>
          <w:rFonts w:cs="David" w:hint="cs"/>
          <w:b/>
          <w:bCs/>
          <w:color w:val="0000FF"/>
          <w:kern w:val="28"/>
          <w:sz w:val="28"/>
          <w:szCs w:val="28"/>
          <w:rtl/>
        </w:rPr>
        <w:t xml:space="preserve">סרטן </w:t>
      </w:r>
      <w:r w:rsidR="00655B17">
        <w:rPr>
          <w:rFonts w:cs="David" w:hint="cs"/>
          <w:b/>
          <w:bCs/>
          <w:color w:val="0000FF"/>
          <w:kern w:val="28"/>
          <w:sz w:val="28"/>
          <w:szCs w:val="28"/>
          <w:rtl/>
        </w:rPr>
        <w:t xml:space="preserve">השד </w:t>
      </w:r>
      <w:r w:rsidRPr="003B6929">
        <w:rPr>
          <w:rFonts w:cs="David" w:hint="cs"/>
          <w:b/>
          <w:bCs/>
          <w:color w:val="0000FF"/>
          <w:kern w:val="28"/>
          <w:sz w:val="28"/>
          <w:szCs w:val="28"/>
          <w:rtl/>
        </w:rPr>
        <w:t>לפי גיל</w:t>
      </w:r>
    </w:p>
    <w:p w:rsidR="00655B17" w:rsidRPr="00655B17" w:rsidRDefault="00655B17" w:rsidP="00655B17">
      <w:pPr>
        <w:bidi/>
        <w:spacing w:line="360" w:lineRule="auto"/>
        <w:jc w:val="both"/>
        <w:rPr>
          <w:rFonts w:cs="David"/>
          <w:b/>
          <w:bCs/>
          <w:color w:val="0000FF"/>
          <w:rtl/>
        </w:rPr>
      </w:pPr>
      <w:r>
        <w:rPr>
          <w:rFonts w:cs="David" w:hint="cs"/>
          <w:b/>
          <w:bCs/>
          <w:color w:val="0000FF"/>
          <w:sz w:val="28"/>
          <w:szCs w:val="28"/>
          <w:rtl/>
        </w:rPr>
        <w:tab/>
      </w:r>
      <w:r w:rsidRPr="00655B17">
        <w:rPr>
          <w:rFonts w:cs="David" w:hint="cs"/>
          <w:b/>
          <w:bCs/>
          <w:color w:val="0000FF"/>
          <w:rtl/>
        </w:rPr>
        <w:t>סרטן חודרני של השד</w:t>
      </w:r>
    </w:p>
    <w:p w:rsidR="007B066A" w:rsidRPr="00853C88" w:rsidRDefault="0071741D" w:rsidP="003C4D28">
      <w:pPr>
        <w:bidi/>
        <w:spacing w:line="360" w:lineRule="auto"/>
        <w:jc w:val="both"/>
        <w:rPr>
          <w:rFonts w:cs="David"/>
          <w:rtl/>
        </w:rPr>
      </w:pPr>
      <w:r w:rsidRPr="00853C88">
        <w:rPr>
          <w:rFonts w:cs="David" w:hint="cs"/>
          <w:rtl/>
        </w:rPr>
        <w:t xml:space="preserve">על פי נתוני </w:t>
      </w:r>
      <w:r w:rsidR="00C51070" w:rsidRPr="00853C88">
        <w:rPr>
          <w:rFonts w:cs="David" w:hint="cs"/>
          <w:rtl/>
        </w:rPr>
        <w:t>201</w:t>
      </w:r>
      <w:r w:rsidR="002B2B60" w:rsidRPr="00853C88">
        <w:rPr>
          <w:rFonts w:cs="David" w:hint="cs"/>
          <w:rtl/>
        </w:rPr>
        <w:t>5</w:t>
      </w:r>
      <w:r w:rsidRPr="00853C88">
        <w:rPr>
          <w:rFonts w:cs="David" w:hint="cs"/>
          <w:rtl/>
        </w:rPr>
        <w:t xml:space="preserve">, </w:t>
      </w:r>
      <w:r w:rsidR="000A63FE" w:rsidRPr="00853C88">
        <w:rPr>
          <w:rFonts w:cs="David" w:hint="cs"/>
          <w:rtl/>
        </w:rPr>
        <w:t>עיקר התחלואה בסרטן חודרני של השד הוא בנשים מעל גיל 50</w:t>
      </w:r>
      <w:r w:rsidR="003B6929" w:rsidRPr="00853C88">
        <w:rPr>
          <w:rFonts w:cs="David" w:hint="cs"/>
          <w:rtl/>
        </w:rPr>
        <w:t xml:space="preserve">; </w:t>
      </w:r>
      <w:r w:rsidR="00D1323D" w:rsidRPr="00853C88">
        <w:rPr>
          <w:rFonts w:cs="David" w:hint="cs"/>
          <w:rtl/>
        </w:rPr>
        <w:t xml:space="preserve">ביהודיות, </w:t>
      </w:r>
      <w:r w:rsidR="00B54C0C" w:rsidRPr="00853C88">
        <w:rPr>
          <w:rFonts w:cs="David" w:hint="cs"/>
          <w:rtl/>
        </w:rPr>
        <w:t>7</w:t>
      </w:r>
      <w:r w:rsidR="003C4D28" w:rsidRPr="00853C88">
        <w:rPr>
          <w:rFonts w:cs="David" w:hint="cs"/>
          <w:rtl/>
        </w:rPr>
        <w:t>8</w:t>
      </w:r>
      <w:r w:rsidR="00B54C0C" w:rsidRPr="00853C88">
        <w:rPr>
          <w:rFonts w:cs="David" w:hint="cs"/>
          <w:rtl/>
        </w:rPr>
        <w:t>%</w:t>
      </w:r>
      <w:r w:rsidR="00042351" w:rsidRPr="00853C88">
        <w:rPr>
          <w:rFonts w:cs="David" w:hint="cs"/>
          <w:rtl/>
        </w:rPr>
        <w:t xml:space="preserve"> </w:t>
      </w:r>
      <w:r w:rsidR="00042351" w:rsidRPr="00853C88">
        <w:rPr>
          <w:rFonts w:cs="David" w:hint="cs"/>
          <w:rtl/>
        </w:rPr>
        <w:lastRenderedPageBreak/>
        <w:t xml:space="preserve">מהחולות </w:t>
      </w:r>
      <w:r w:rsidR="003B6929" w:rsidRPr="00853C88">
        <w:rPr>
          <w:rFonts w:cs="David" w:hint="cs"/>
          <w:rtl/>
        </w:rPr>
        <w:t>החדשות בשנת 20</w:t>
      </w:r>
      <w:r w:rsidR="007D458A" w:rsidRPr="00853C88">
        <w:rPr>
          <w:rFonts w:cs="David" w:hint="cs"/>
          <w:rtl/>
        </w:rPr>
        <w:t>1</w:t>
      </w:r>
      <w:r w:rsidR="002B2B60" w:rsidRPr="00853C88">
        <w:rPr>
          <w:rFonts w:cs="David" w:hint="cs"/>
          <w:rtl/>
        </w:rPr>
        <w:t>5</w:t>
      </w:r>
      <w:r w:rsidR="003B6929" w:rsidRPr="00853C88">
        <w:rPr>
          <w:rFonts w:cs="David" w:hint="cs"/>
          <w:rtl/>
        </w:rPr>
        <w:t xml:space="preserve"> היו </w:t>
      </w:r>
      <w:r w:rsidR="00042351" w:rsidRPr="00853C88">
        <w:rPr>
          <w:rFonts w:cs="David" w:hint="cs"/>
          <w:rtl/>
        </w:rPr>
        <w:t>מעל גיל 50 ו-</w:t>
      </w:r>
      <w:r w:rsidR="00B54C0C" w:rsidRPr="00853C88">
        <w:rPr>
          <w:rFonts w:cs="David" w:hint="cs"/>
          <w:rtl/>
        </w:rPr>
        <w:t>4</w:t>
      </w:r>
      <w:r w:rsidR="003C4D28" w:rsidRPr="00853C88">
        <w:rPr>
          <w:rFonts w:cs="David" w:hint="cs"/>
          <w:rtl/>
        </w:rPr>
        <w:t>1</w:t>
      </w:r>
      <w:r w:rsidR="00B54C0C" w:rsidRPr="00853C88">
        <w:rPr>
          <w:rFonts w:cs="David" w:hint="cs"/>
          <w:rtl/>
        </w:rPr>
        <w:t>%</w:t>
      </w:r>
      <w:r w:rsidR="00042351" w:rsidRPr="00853C88">
        <w:rPr>
          <w:rFonts w:cs="David" w:hint="cs"/>
          <w:rtl/>
        </w:rPr>
        <w:t xml:space="preserve"> מהחולות </w:t>
      </w:r>
      <w:r w:rsidR="00042351" w:rsidRPr="00853C88">
        <w:rPr>
          <w:rFonts w:cs="David"/>
          <w:rtl/>
        </w:rPr>
        <w:t>–</w:t>
      </w:r>
      <w:r w:rsidR="00042351" w:rsidRPr="00853C88">
        <w:rPr>
          <w:rFonts w:cs="David" w:hint="cs"/>
          <w:rtl/>
        </w:rPr>
        <w:t xml:space="preserve"> מעל גיל 65. בערביות</w:t>
      </w:r>
      <w:r w:rsidR="003B6929" w:rsidRPr="00853C88">
        <w:rPr>
          <w:rFonts w:cs="David" w:hint="cs"/>
          <w:rtl/>
        </w:rPr>
        <w:t xml:space="preserve">, </w:t>
      </w:r>
      <w:r w:rsidR="003C4D28" w:rsidRPr="00853C88">
        <w:rPr>
          <w:rFonts w:cs="David" w:hint="cs"/>
          <w:rtl/>
        </w:rPr>
        <w:t>65</w:t>
      </w:r>
      <w:r w:rsidR="00B54C0C" w:rsidRPr="00853C88">
        <w:rPr>
          <w:rFonts w:cs="David" w:hint="cs"/>
          <w:rtl/>
        </w:rPr>
        <w:t>%</w:t>
      </w:r>
      <w:r w:rsidR="003B6929" w:rsidRPr="00853C88">
        <w:rPr>
          <w:rFonts w:cs="David" w:hint="cs"/>
          <w:rtl/>
        </w:rPr>
        <w:t xml:space="preserve"> מהחולות החדשות </w:t>
      </w:r>
      <w:r w:rsidR="00AD7F6F" w:rsidRPr="00853C88">
        <w:rPr>
          <w:rFonts w:cs="David" w:hint="cs"/>
          <w:rtl/>
        </w:rPr>
        <w:t xml:space="preserve">באותה שנה </w:t>
      </w:r>
      <w:r w:rsidR="003B6929" w:rsidRPr="00853C88">
        <w:rPr>
          <w:rFonts w:cs="David" w:hint="cs"/>
          <w:rtl/>
        </w:rPr>
        <w:t>היו מעל גיל 50 ו-</w:t>
      </w:r>
      <w:r w:rsidR="007B066A" w:rsidRPr="00853C88">
        <w:rPr>
          <w:rFonts w:cs="David" w:hint="cs"/>
          <w:rtl/>
        </w:rPr>
        <w:t>2</w:t>
      </w:r>
      <w:r w:rsidR="003C4D28" w:rsidRPr="00853C88">
        <w:rPr>
          <w:rFonts w:cs="David" w:hint="cs"/>
          <w:rtl/>
        </w:rPr>
        <w:t>5</w:t>
      </w:r>
      <w:r w:rsidR="00B54C0C" w:rsidRPr="00853C88">
        <w:rPr>
          <w:rFonts w:cs="David" w:hint="cs"/>
          <w:rtl/>
        </w:rPr>
        <w:t>%</w:t>
      </w:r>
      <w:r w:rsidR="003B6929" w:rsidRPr="00853C88">
        <w:rPr>
          <w:rFonts w:cs="David" w:hint="cs"/>
          <w:rtl/>
        </w:rPr>
        <w:t xml:space="preserve"> היו מעל גיל 65. </w:t>
      </w:r>
      <w:r w:rsidR="007B066A" w:rsidRPr="00853C88">
        <w:rPr>
          <w:rFonts w:cs="David" w:hint="cs"/>
          <w:rtl/>
        </w:rPr>
        <w:t xml:space="preserve">ב"אחרות" האחוזים היו </w:t>
      </w:r>
      <w:r w:rsidR="003C4D28" w:rsidRPr="00853C88">
        <w:rPr>
          <w:rFonts w:cs="David" w:hint="cs"/>
          <w:rtl/>
        </w:rPr>
        <w:t>68</w:t>
      </w:r>
      <w:r w:rsidR="007B066A" w:rsidRPr="00853C88">
        <w:rPr>
          <w:rFonts w:cs="David" w:hint="cs"/>
          <w:rtl/>
        </w:rPr>
        <w:t>% ו-3</w:t>
      </w:r>
      <w:r w:rsidR="003C4D28" w:rsidRPr="00853C88">
        <w:rPr>
          <w:rFonts w:cs="David" w:hint="cs"/>
          <w:rtl/>
        </w:rPr>
        <w:t>5</w:t>
      </w:r>
      <w:r w:rsidR="007B066A" w:rsidRPr="00853C88">
        <w:rPr>
          <w:rFonts w:cs="David" w:hint="cs"/>
          <w:rtl/>
        </w:rPr>
        <w:t xml:space="preserve">%, בהתאמה. </w:t>
      </w:r>
    </w:p>
    <w:p w:rsidR="00431304" w:rsidRPr="00853C88" w:rsidRDefault="006C23D0" w:rsidP="00853C88">
      <w:pPr>
        <w:bidi/>
        <w:spacing w:line="360" w:lineRule="auto"/>
        <w:jc w:val="both"/>
        <w:rPr>
          <w:rFonts w:cs="David"/>
          <w:rtl/>
        </w:rPr>
      </w:pPr>
      <w:r w:rsidRPr="00853C88">
        <w:rPr>
          <w:rFonts w:cs="David"/>
          <w:rtl/>
        </w:rPr>
        <w:t xml:space="preserve">בהשוואה ליהודיות, </w:t>
      </w:r>
      <w:r w:rsidR="00AD7F6F" w:rsidRPr="00853C88">
        <w:rPr>
          <w:rFonts w:cs="David" w:hint="cs"/>
          <w:rtl/>
        </w:rPr>
        <w:t>ב</w:t>
      </w:r>
      <w:r w:rsidRPr="00853C88">
        <w:rPr>
          <w:rFonts w:cs="David"/>
          <w:rtl/>
        </w:rPr>
        <w:t xml:space="preserve">ערביות </w:t>
      </w:r>
      <w:r w:rsidR="005B39A3" w:rsidRPr="00853C88">
        <w:rPr>
          <w:rFonts w:cs="David" w:hint="cs"/>
          <w:rtl/>
        </w:rPr>
        <w:t xml:space="preserve">סיכון דומה </w:t>
      </w:r>
      <w:r w:rsidR="00593E99" w:rsidRPr="00853C88">
        <w:rPr>
          <w:rFonts w:cs="David" w:hint="cs"/>
          <w:rtl/>
        </w:rPr>
        <w:t>למחלה</w:t>
      </w:r>
      <w:r w:rsidR="00593E99" w:rsidRPr="00853C88">
        <w:rPr>
          <w:rFonts w:cs="David"/>
          <w:rtl/>
        </w:rPr>
        <w:t xml:space="preserve"> </w:t>
      </w:r>
      <w:r w:rsidRPr="00853C88">
        <w:rPr>
          <w:rFonts w:cs="David"/>
          <w:rtl/>
        </w:rPr>
        <w:t xml:space="preserve">בקבוצות הגיל הצעירות מאד (עד גיל </w:t>
      </w:r>
      <w:r w:rsidR="00203022" w:rsidRPr="00853C88">
        <w:rPr>
          <w:rFonts w:cs="David" w:hint="cs"/>
          <w:rtl/>
        </w:rPr>
        <w:t>29</w:t>
      </w:r>
      <w:r w:rsidRPr="00853C88">
        <w:rPr>
          <w:rFonts w:cs="David"/>
          <w:rtl/>
        </w:rPr>
        <w:t>), אבל נמו</w:t>
      </w:r>
      <w:r w:rsidR="00593E99" w:rsidRPr="00853C88">
        <w:rPr>
          <w:rFonts w:cs="David" w:hint="cs"/>
          <w:rtl/>
        </w:rPr>
        <w:t>ך</w:t>
      </w:r>
      <w:r w:rsidRPr="00853C88">
        <w:rPr>
          <w:rFonts w:cs="David"/>
          <w:rtl/>
        </w:rPr>
        <w:t xml:space="preserve"> </w:t>
      </w:r>
      <w:r w:rsidR="0033570B" w:rsidRPr="00853C88">
        <w:rPr>
          <w:rFonts w:cs="David" w:hint="cs"/>
          <w:rtl/>
        </w:rPr>
        <w:t>יותר בקבוצות הגיל האחרות</w:t>
      </w:r>
      <w:r w:rsidRPr="00853C88">
        <w:rPr>
          <w:rFonts w:cs="David"/>
          <w:b/>
          <w:bCs/>
          <w:rtl/>
        </w:rPr>
        <w:t xml:space="preserve"> </w:t>
      </w:r>
      <w:r w:rsidRPr="00853C88">
        <w:rPr>
          <w:rFonts w:cs="David"/>
          <w:rtl/>
        </w:rPr>
        <w:t>(תרשים 3).</w:t>
      </w:r>
      <w:r w:rsidRPr="00853C88">
        <w:rPr>
          <w:rFonts w:cs="David" w:hint="cs"/>
          <w:rtl/>
        </w:rPr>
        <w:t xml:space="preserve"> </w:t>
      </w:r>
      <w:r w:rsidR="00DB0AC4" w:rsidRPr="00853C88">
        <w:rPr>
          <w:rFonts w:cs="David" w:hint="cs"/>
          <w:rtl/>
        </w:rPr>
        <w:t xml:space="preserve"> </w:t>
      </w:r>
      <w:r w:rsidR="00FE246C" w:rsidRPr="00853C88">
        <w:rPr>
          <w:rFonts w:cs="David" w:hint="cs"/>
          <w:rtl/>
        </w:rPr>
        <w:t>הגיל ה</w:t>
      </w:r>
      <w:r w:rsidR="00DB0AC4" w:rsidRPr="00853C88">
        <w:rPr>
          <w:rFonts w:cs="David" w:hint="cs"/>
          <w:rtl/>
        </w:rPr>
        <w:t xml:space="preserve">ממוצע </w:t>
      </w:r>
      <w:r w:rsidR="00B80FF1" w:rsidRPr="00853C88">
        <w:rPr>
          <w:rFonts w:cs="David" w:hint="cs"/>
          <w:rtl/>
        </w:rPr>
        <w:t xml:space="preserve">והחציוני </w:t>
      </w:r>
      <w:r w:rsidR="00DB0AC4" w:rsidRPr="00853C88">
        <w:rPr>
          <w:rFonts w:cs="David" w:hint="cs"/>
          <w:rtl/>
        </w:rPr>
        <w:t>בעת האבחנה</w:t>
      </w:r>
      <w:r w:rsidR="00BA05CD" w:rsidRPr="00853C88">
        <w:rPr>
          <w:rFonts w:cs="David" w:hint="cs"/>
          <w:rtl/>
        </w:rPr>
        <w:t xml:space="preserve"> </w:t>
      </w:r>
      <w:r w:rsidR="00492A62" w:rsidRPr="00853C88">
        <w:rPr>
          <w:rFonts w:cs="David" w:hint="cs"/>
          <w:rtl/>
        </w:rPr>
        <w:t>בשנת 201</w:t>
      </w:r>
      <w:r w:rsidR="002B2B60" w:rsidRPr="00853C88">
        <w:rPr>
          <w:rFonts w:cs="David" w:hint="cs"/>
          <w:rtl/>
        </w:rPr>
        <w:t>5</w:t>
      </w:r>
      <w:r w:rsidR="00492A62" w:rsidRPr="00853C88">
        <w:rPr>
          <w:rFonts w:cs="David" w:hint="cs"/>
          <w:rtl/>
        </w:rPr>
        <w:t xml:space="preserve"> </w:t>
      </w:r>
      <w:r w:rsidR="00DB0AC4" w:rsidRPr="00853C88">
        <w:rPr>
          <w:rFonts w:cs="David" w:hint="cs"/>
          <w:rtl/>
        </w:rPr>
        <w:t xml:space="preserve">היה </w:t>
      </w:r>
      <w:r w:rsidR="00B54C0C" w:rsidRPr="00853C88">
        <w:rPr>
          <w:rFonts w:cs="David" w:hint="cs"/>
          <w:rtl/>
        </w:rPr>
        <w:t>61.</w:t>
      </w:r>
      <w:r w:rsidR="003C4D28" w:rsidRPr="00853C88">
        <w:rPr>
          <w:rFonts w:cs="David" w:hint="cs"/>
          <w:rtl/>
        </w:rPr>
        <w:t>0</w:t>
      </w:r>
      <w:r w:rsidR="00DB0AC4" w:rsidRPr="00853C88">
        <w:rPr>
          <w:rFonts w:cs="David" w:hint="cs"/>
          <w:rtl/>
        </w:rPr>
        <w:t xml:space="preserve"> </w:t>
      </w:r>
      <w:r w:rsidR="00B80FF1" w:rsidRPr="00853C88">
        <w:rPr>
          <w:rFonts w:cs="David" w:hint="cs"/>
          <w:rtl/>
        </w:rPr>
        <w:t>ו-</w:t>
      </w:r>
      <w:r w:rsidR="00B54C0C" w:rsidRPr="00853C88">
        <w:rPr>
          <w:rFonts w:cs="David" w:hint="cs"/>
          <w:rtl/>
        </w:rPr>
        <w:t>6</w:t>
      </w:r>
      <w:r w:rsidR="003C4D28" w:rsidRPr="00853C88">
        <w:rPr>
          <w:rFonts w:cs="David" w:hint="cs"/>
          <w:rtl/>
        </w:rPr>
        <w:t>3</w:t>
      </w:r>
      <w:r w:rsidR="00B54C0C" w:rsidRPr="00853C88">
        <w:rPr>
          <w:rFonts w:cs="David" w:hint="cs"/>
          <w:rtl/>
        </w:rPr>
        <w:t>.</w:t>
      </w:r>
      <w:r w:rsidR="003C4D28" w:rsidRPr="00853C88">
        <w:rPr>
          <w:rFonts w:cs="David" w:hint="cs"/>
          <w:rtl/>
        </w:rPr>
        <w:t>0</w:t>
      </w:r>
      <w:r w:rsidR="00B80FF1" w:rsidRPr="00853C88">
        <w:rPr>
          <w:rFonts w:cs="David" w:hint="cs"/>
          <w:rtl/>
        </w:rPr>
        <w:t xml:space="preserve">, בהתאמה, </w:t>
      </w:r>
      <w:r w:rsidR="00DB0AC4" w:rsidRPr="00853C88">
        <w:rPr>
          <w:rFonts w:cs="David" w:hint="cs"/>
          <w:rtl/>
        </w:rPr>
        <w:t>בקרב נשים יהודיות</w:t>
      </w:r>
      <w:r w:rsidR="00853C88">
        <w:rPr>
          <w:rFonts w:cs="David" w:hint="cs"/>
          <w:rtl/>
        </w:rPr>
        <w:t xml:space="preserve"> (55.6 ו-55.6, בהתאמה, בקרב יהודיות </w:t>
      </w:r>
      <w:r w:rsidR="00853C88" w:rsidRPr="00853C88">
        <w:rPr>
          <w:rFonts w:cs="David" w:hint="cs"/>
          <w:b/>
          <w:bCs/>
          <w:rtl/>
        </w:rPr>
        <w:t>ילידות ישראל</w:t>
      </w:r>
      <w:r w:rsidR="00853C88">
        <w:rPr>
          <w:rFonts w:cs="David" w:hint="cs"/>
          <w:rtl/>
        </w:rPr>
        <w:t>)</w:t>
      </w:r>
      <w:r w:rsidR="0033570B" w:rsidRPr="00853C88">
        <w:rPr>
          <w:rFonts w:cs="David" w:hint="cs"/>
          <w:rtl/>
        </w:rPr>
        <w:t xml:space="preserve">; </w:t>
      </w:r>
      <w:r w:rsidR="00B54C0C" w:rsidRPr="00853C88">
        <w:rPr>
          <w:rFonts w:cs="David" w:hint="cs"/>
          <w:rtl/>
        </w:rPr>
        <w:t>5</w:t>
      </w:r>
      <w:r w:rsidR="003C4D28" w:rsidRPr="00853C88">
        <w:rPr>
          <w:rFonts w:cs="David" w:hint="cs"/>
          <w:rtl/>
        </w:rPr>
        <w:t>5</w:t>
      </w:r>
      <w:r w:rsidR="00B54C0C" w:rsidRPr="00853C88">
        <w:rPr>
          <w:rFonts w:cs="David" w:hint="cs"/>
          <w:rtl/>
        </w:rPr>
        <w:t>.1</w:t>
      </w:r>
      <w:r w:rsidR="00DB0AC4" w:rsidRPr="00853C88">
        <w:rPr>
          <w:rFonts w:cs="David" w:hint="cs"/>
          <w:rtl/>
        </w:rPr>
        <w:t xml:space="preserve"> </w:t>
      </w:r>
      <w:r w:rsidR="00B80FF1" w:rsidRPr="00853C88">
        <w:rPr>
          <w:rFonts w:cs="David" w:hint="cs"/>
          <w:rtl/>
        </w:rPr>
        <w:t>ו-</w:t>
      </w:r>
      <w:r w:rsidR="00B54C0C" w:rsidRPr="00853C88">
        <w:rPr>
          <w:rFonts w:cs="David" w:hint="cs"/>
          <w:rtl/>
        </w:rPr>
        <w:t>5</w:t>
      </w:r>
      <w:r w:rsidR="003C4D28" w:rsidRPr="00853C88">
        <w:rPr>
          <w:rFonts w:cs="David" w:hint="cs"/>
          <w:rtl/>
        </w:rPr>
        <w:t>3</w:t>
      </w:r>
      <w:r w:rsidR="00B54C0C" w:rsidRPr="00853C88">
        <w:rPr>
          <w:rFonts w:cs="David" w:hint="cs"/>
          <w:rtl/>
        </w:rPr>
        <w:t>.</w:t>
      </w:r>
      <w:r w:rsidR="003C4D28" w:rsidRPr="00853C88">
        <w:rPr>
          <w:rFonts w:cs="David" w:hint="cs"/>
          <w:rtl/>
        </w:rPr>
        <w:t>8</w:t>
      </w:r>
      <w:r w:rsidR="00B80FF1" w:rsidRPr="00853C88">
        <w:rPr>
          <w:rFonts w:cs="David" w:hint="cs"/>
          <w:rtl/>
        </w:rPr>
        <w:t xml:space="preserve">, בהתאמה, </w:t>
      </w:r>
      <w:r w:rsidR="00DB0AC4" w:rsidRPr="00853C88">
        <w:rPr>
          <w:rFonts w:cs="David" w:hint="cs"/>
          <w:rtl/>
        </w:rPr>
        <w:t>בקרב נשים ערביות</w:t>
      </w:r>
      <w:r w:rsidR="0033570B" w:rsidRPr="00853C88">
        <w:rPr>
          <w:rFonts w:cs="David" w:hint="cs"/>
          <w:rtl/>
        </w:rPr>
        <w:t>; 5</w:t>
      </w:r>
      <w:r w:rsidR="003C4D28" w:rsidRPr="00853C88">
        <w:rPr>
          <w:rFonts w:cs="David" w:hint="cs"/>
          <w:rtl/>
        </w:rPr>
        <w:t>7</w:t>
      </w:r>
      <w:r w:rsidR="0033570B" w:rsidRPr="00853C88">
        <w:rPr>
          <w:rFonts w:cs="David" w:hint="cs"/>
          <w:rtl/>
        </w:rPr>
        <w:t>.</w:t>
      </w:r>
      <w:r w:rsidR="003C4D28" w:rsidRPr="00853C88">
        <w:rPr>
          <w:rFonts w:cs="David" w:hint="cs"/>
          <w:rtl/>
        </w:rPr>
        <w:t>8</w:t>
      </w:r>
      <w:r w:rsidR="0033570B" w:rsidRPr="00853C88">
        <w:rPr>
          <w:rFonts w:cs="David" w:hint="cs"/>
          <w:rtl/>
        </w:rPr>
        <w:t xml:space="preserve"> ו-58.</w:t>
      </w:r>
      <w:r w:rsidR="003C4D28" w:rsidRPr="00853C88">
        <w:rPr>
          <w:rFonts w:cs="David" w:hint="cs"/>
          <w:rtl/>
        </w:rPr>
        <w:t>3</w:t>
      </w:r>
      <w:r w:rsidR="0033570B" w:rsidRPr="00853C88">
        <w:rPr>
          <w:rFonts w:cs="David" w:hint="cs"/>
          <w:rtl/>
        </w:rPr>
        <w:t>, בהתאמה, בנשים "אחרות".</w:t>
      </w:r>
      <w:r w:rsidR="00FD457D" w:rsidRPr="00853C88">
        <w:rPr>
          <w:rFonts w:cs="David" w:hint="cs"/>
          <w:rtl/>
        </w:rPr>
        <w:t xml:space="preserve"> הפרשים אלה מוסברים בהתפלגות גיל שונה (צעירה יותר) של נשים ערביות בהשוואה לנשים יהודיות ו"אחרות" בישראל.</w:t>
      </w:r>
    </w:p>
    <w:p w:rsidR="00203022" w:rsidRDefault="00203022" w:rsidP="002B2B60">
      <w:pPr>
        <w:bidi/>
        <w:spacing w:line="360" w:lineRule="auto"/>
        <w:jc w:val="both"/>
        <w:rPr>
          <w:rFonts w:cs="David"/>
          <w:sz w:val="18"/>
          <w:szCs w:val="18"/>
          <w:rtl/>
        </w:rPr>
      </w:pPr>
    </w:p>
    <w:p w:rsidR="00C01016" w:rsidRPr="00920C57" w:rsidRDefault="00C01016" w:rsidP="00203022">
      <w:pPr>
        <w:bidi/>
        <w:spacing w:line="360" w:lineRule="auto"/>
        <w:jc w:val="both"/>
        <w:rPr>
          <w:rFonts w:cs="David"/>
          <w:b/>
          <w:bCs/>
          <w:sz w:val="18"/>
          <w:szCs w:val="18"/>
          <w:rtl/>
        </w:rPr>
      </w:pPr>
      <w:r w:rsidRPr="003C4D28">
        <w:rPr>
          <w:rFonts w:cs="David" w:hint="cs"/>
          <w:sz w:val="18"/>
          <w:szCs w:val="18"/>
          <w:rtl/>
        </w:rPr>
        <w:t xml:space="preserve">תרשים 3: </w:t>
      </w:r>
      <w:r w:rsidRPr="003C4D28">
        <w:rPr>
          <w:rFonts w:cs="David" w:hint="cs"/>
          <w:b/>
          <w:bCs/>
          <w:sz w:val="18"/>
          <w:szCs w:val="18"/>
          <w:rtl/>
        </w:rPr>
        <w:t>היארעות סרטן חודרני של השד בנשים לפי קבוצת אוכלוסייה וקבוצת גיל, ישראל, 201</w:t>
      </w:r>
      <w:r w:rsidR="002B2B60" w:rsidRPr="003C4D28">
        <w:rPr>
          <w:rFonts w:cs="David" w:hint="cs"/>
          <w:b/>
          <w:bCs/>
          <w:sz w:val="18"/>
          <w:szCs w:val="18"/>
          <w:rtl/>
        </w:rPr>
        <w:t>5</w:t>
      </w:r>
    </w:p>
    <w:p w:rsidR="001B19BD" w:rsidRPr="00BA05CD" w:rsidRDefault="00203022" w:rsidP="001B19BD">
      <w:pPr>
        <w:bidi/>
        <w:spacing w:line="360" w:lineRule="auto"/>
        <w:jc w:val="both"/>
        <w:rPr>
          <w:rFonts w:cs="David"/>
          <w:rtl/>
        </w:rPr>
      </w:pPr>
      <w:r>
        <w:rPr>
          <w:noProof/>
          <w:lang w:eastAsia="en-US"/>
        </w:rPr>
        <w:drawing>
          <wp:inline distT="0" distB="0" distL="0" distR="0" wp14:anchorId="0035B04D" wp14:editId="26B91ED7">
            <wp:extent cx="5516880" cy="3421380"/>
            <wp:effectExtent l="0" t="0" r="26670" b="2667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5267A" w:rsidRDefault="00655B17" w:rsidP="00655B17">
      <w:pPr>
        <w:bidi/>
        <w:spacing w:line="360" w:lineRule="auto"/>
        <w:jc w:val="both"/>
        <w:rPr>
          <w:rFonts w:cs="David"/>
          <w:b/>
          <w:bCs/>
          <w:color w:val="0000FF"/>
          <w:sz w:val="28"/>
          <w:szCs w:val="28"/>
          <w:rtl/>
        </w:rPr>
      </w:pPr>
      <w:r>
        <w:rPr>
          <w:rFonts w:cs="David" w:hint="cs"/>
          <w:b/>
          <w:bCs/>
          <w:color w:val="0000FF"/>
          <w:sz w:val="28"/>
          <w:szCs w:val="28"/>
          <w:rtl/>
        </w:rPr>
        <w:tab/>
      </w:r>
    </w:p>
    <w:p w:rsidR="00655B17" w:rsidRPr="00655B17" w:rsidRDefault="00655B17" w:rsidP="0075267A">
      <w:pPr>
        <w:bidi/>
        <w:spacing w:line="360" w:lineRule="auto"/>
        <w:ind w:firstLine="720"/>
        <w:jc w:val="both"/>
        <w:rPr>
          <w:rFonts w:cs="David"/>
          <w:b/>
          <w:bCs/>
          <w:color w:val="0000FF"/>
        </w:rPr>
      </w:pPr>
      <w:r w:rsidRPr="00655B17">
        <w:rPr>
          <w:rFonts w:cs="David" w:hint="cs"/>
          <w:b/>
          <w:bCs/>
          <w:color w:val="0000FF"/>
          <w:rtl/>
        </w:rPr>
        <w:t>סרטן ממוקד של השד</w:t>
      </w:r>
    </w:p>
    <w:p w:rsidR="0033570B" w:rsidRPr="00853C88" w:rsidRDefault="002C29B1" w:rsidP="00203022">
      <w:pPr>
        <w:bidi/>
        <w:spacing w:line="360" w:lineRule="auto"/>
        <w:jc w:val="both"/>
        <w:rPr>
          <w:rFonts w:cs="David"/>
          <w:rtl/>
        </w:rPr>
      </w:pPr>
      <w:r w:rsidRPr="00853C88">
        <w:rPr>
          <w:rFonts w:cs="David" w:hint="cs"/>
          <w:rtl/>
        </w:rPr>
        <w:t>על פי נתוני 201</w:t>
      </w:r>
      <w:r w:rsidR="002B2B60" w:rsidRPr="00853C88">
        <w:rPr>
          <w:rFonts w:cs="David" w:hint="cs"/>
          <w:rtl/>
        </w:rPr>
        <w:t>5</w:t>
      </w:r>
      <w:r w:rsidRPr="00853C88">
        <w:rPr>
          <w:rFonts w:cs="David" w:hint="cs"/>
          <w:rtl/>
        </w:rPr>
        <w:t xml:space="preserve">, עיקר התחלואה </w:t>
      </w:r>
      <w:r w:rsidRPr="00853C88">
        <w:rPr>
          <w:rFonts w:cs="David" w:hint="cs"/>
          <w:b/>
          <w:bCs/>
          <w:rtl/>
        </w:rPr>
        <w:t>בסרטן ממוקד</w:t>
      </w:r>
      <w:r w:rsidRPr="00853C88">
        <w:rPr>
          <w:rFonts w:cs="David" w:hint="cs"/>
          <w:rtl/>
        </w:rPr>
        <w:t xml:space="preserve"> של השד הוא בנשים מעל גיל 50; ביהודיות, </w:t>
      </w:r>
      <w:r w:rsidR="00203022" w:rsidRPr="00853C88">
        <w:rPr>
          <w:rFonts w:cs="David" w:hint="cs"/>
          <w:rtl/>
        </w:rPr>
        <w:t>80</w:t>
      </w:r>
      <w:r w:rsidR="00774A62" w:rsidRPr="00853C88">
        <w:rPr>
          <w:rFonts w:cs="David" w:hint="cs"/>
          <w:rtl/>
        </w:rPr>
        <w:t xml:space="preserve">% </w:t>
      </w:r>
      <w:r w:rsidRPr="00853C88">
        <w:rPr>
          <w:rFonts w:cs="David" w:hint="cs"/>
          <w:rtl/>
        </w:rPr>
        <w:t>מהחולות החדשות בשנת 201</w:t>
      </w:r>
      <w:r w:rsidR="002B2B60" w:rsidRPr="00853C88">
        <w:rPr>
          <w:rFonts w:cs="David" w:hint="cs"/>
          <w:rtl/>
        </w:rPr>
        <w:t>5</w:t>
      </w:r>
      <w:r w:rsidRPr="00853C88">
        <w:rPr>
          <w:rFonts w:cs="David" w:hint="cs"/>
          <w:rtl/>
        </w:rPr>
        <w:t xml:space="preserve"> היו מעל גיל 50 ו-</w:t>
      </w:r>
      <w:r w:rsidR="00774A62" w:rsidRPr="00853C88">
        <w:rPr>
          <w:rFonts w:cs="David" w:hint="cs"/>
          <w:rtl/>
        </w:rPr>
        <w:t>3</w:t>
      </w:r>
      <w:r w:rsidR="00203022" w:rsidRPr="00853C88">
        <w:rPr>
          <w:rFonts w:cs="David" w:hint="cs"/>
          <w:rtl/>
        </w:rPr>
        <w:t>7</w:t>
      </w:r>
      <w:r w:rsidR="00774A62" w:rsidRPr="00853C88">
        <w:rPr>
          <w:rFonts w:cs="David" w:hint="cs"/>
          <w:rtl/>
        </w:rPr>
        <w:t>%</w:t>
      </w:r>
      <w:r w:rsidRPr="00853C88">
        <w:rPr>
          <w:rFonts w:cs="David" w:hint="cs"/>
          <w:rtl/>
        </w:rPr>
        <w:t xml:space="preserve"> מהחולות </w:t>
      </w:r>
      <w:r w:rsidRPr="00853C88">
        <w:rPr>
          <w:rFonts w:cs="David"/>
          <w:rtl/>
        </w:rPr>
        <w:t>–</w:t>
      </w:r>
      <w:r w:rsidRPr="00853C88">
        <w:rPr>
          <w:rFonts w:cs="David" w:hint="cs"/>
          <w:rtl/>
        </w:rPr>
        <w:t xml:space="preserve"> מעל גיל 65. בערביות, </w:t>
      </w:r>
      <w:r w:rsidR="0033570B" w:rsidRPr="00853C88">
        <w:rPr>
          <w:rFonts w:cs="David" w:hint="cs"/>
          <w:rtl/>
        </w:rPr>
        <w:t>6</w:t>
      </w:r>
      <w:r w:rsidR="00203022" w:rsidRPr="00853C88">
        <w:rPr>
          <w:rFonts w:cs="David" w:hint="cs"/>
          <w:rtl/>
        </w:rPr>
        <w:t>7</w:t>
      </w:r>
      <w:r w:rsidR="006C4BC8" w:rsidRPr="00853C88">
        <w:rPr>
          <w:rFonts w:cs="David" w:hint="cs"/>
          <w:rtl/>
        </w:rPr>
        <w:t>%</w:t>
      </w:r>
      <w:r w:rsidR="00474169" w:rsidRPr="00853C88">
        <w:rPr>
          <w:rFonts w:cs="David" w:hint="cs"/>
          <w:rtl/>
        </w:rPr>
        <w:t xml:space="preserve"> מ</w:t>
      </w:r>
      <w:r w:rsidRPr="00853C88">
        <w:rPr>
          <w:rFonts w:cs="David" w:hint="cs"/>
          <w:rtl/>
        </w:rPr>
        <w:t xml:space="preserve">החולות החדשות שאובחנו </w:t>
      </w:r>
      <w:r w:rsidR="00AD7F6F" w:rsidRPr="00853C88">
        <w:rPr>
          <w:rFonts w:cs="David" w:hint="cs"/>
          <w:rtl/>
        </w:rPr>
        <w:t>באותה שנה</w:t>
      </w:r>
      <w:r w:rsidRPr="00853C88">
        <w:rPr>
          <w:rFonts w:cs="David" w:hint="cs"/>
          <w:rtl/>
        </w:rPr>
        <w:t xml:space="preserve"> היו מעל גיל 50 ו-</w:t>
      </w:r>
      <w:r w:rsidR="0033570B" w:rsidRPr="00853C88">
        <w:rPr>
          <w:rFonts w:cs="David" w:hint="cs"/>
          <w:rtl/>
        </w:rPr>
        <w:t>23</w:t>
      </w:r>
      <w:r w:rsidR="006C4BC8" w:rsidRPr="00853C88">
        <w:rPr>
          <w:rFonts w:cs="David" w:hint="cs"/>
          <w:rtl/>
        </w:rPr>
        <w:t>%</w:t>
      </w:r>
      <w:r w:rsidRPr="00853C88">
        <w:rPr>
          <w:rFonts w:cs="David" w:hint="cs"/>
          <w:rtl/>
        </w:rPr>
        <w:t xml:space="preserve"> היו מעל גיל 65.</w:t>
      </w:r>
      <w:r w:rsidRPr="00853C88">
        <w:rPr>
          <w:rFonts w:cs="David" w:hint="cs"/>
          <w:b/>
          <w:bCs/>
          <w:rtl/>
        </w:rPr>
        <w:t xml:space="preserve"> </w:t>
      </w:r>
      <w:r w:rsidR="0033570B" w:rsidRPr="00853C88">
        <w:rPr>
          <w:rFonts w:cs="David" w:hint="cs"/>
          <w:rtl/>
        </w:rPr>
        <w:t xml:space="preserve">ב"אחרות" האחוזים היו, בהתאמה, </w:t>
      </w:r>
      <w:r w:rsidR="00203022" w:rsidRPr="00853C88">
        <w:rPr>
          <w:rFonts w:cs="David" w:hint="cs"/>
          <w:rtl/>
        </w:rPr>
        <w:t>55</w:t>
      </w:r>
      <w:r w:rsidR="0033570B" w:rsidRPr="00853C88">
        <w:rPr>
          <w:rFonts w:cs="David" w:hint="cs"/>
          <w:rtl/>
        </w:rPr>
        <w:t>% ו-</w:t>
      </w:r>
      <w:r w:rsidR="00203022" w:rsidRPr="00853C88">
        <w:rPr>
          <w:rFonts w:cs="David" w:hint="cs"/>
          <w:rtl/>
        </w:rPr>
        <w:t>10</w:t>
      </w:r>
      <w:r w:rsidR="0033570B" w:rsidRPr="00853C88">
        <w:rPr>
          <w:rFonts w:cs="David" w:hint="cs"/>
          <w:rtl/>
        </w:rPr>
        <w:t xml:space="preserve">%. </w:t>
      </w:r>
    </w:p>
    <w:p w:rsidR="00FD457D" w:rsidRPr="00853C88" w:rsidRDefault="002C29B1" w:rsidP="00853C88">
      <w:pPr>
        <w:bidi/>
        <w:spacing w:line="360" w:lineRule="auto"/>
        <w:jc w:val="both"/>
        <w:rPr>
          <w:rFonts w:cs="David"/>
          <w:rtl/>
        </w:rPr>
      </w:pPr>
      <w:r w:rsidRPr="00853C88">
        <w:rPr>
          <w:rFonts w:cs="David"/>
          <w:rtl/>
        </w:rPr>
        <w:t>בהשוואה ליהודיות</w:t>
      </w:r>
      <w:r w:rsidR="0033570B" w:rsidRPr="00853C88">
        <w:rPr>
          <w:rFonts w:cs="David" w:hint="cs"/>
          <w:rtl/>
        </w:rPr>
        <w:t xml:space="preserve"> ול"אחרות"</w:t>
      </w:r>
      <w:r w:rsidRPr="00853C88">
        <w:rPr>
          <w:rFonts w:cs="David"/>
          <w:rtl/>
        </w:rPr>
        <w:t xml:space="preserve">, לערביות </w:t>
      </w:r>
      <w:r w:rsidR="00593E99" w:rsidRPr="00853C88">
        <w:rPr>
          <w:rFonts w:cs="David" w:hint="cs"/>
          <w:rtl/>
        </w:rPr>
        <w:t xml:space="preserve">סיכון דומה למחלה </w:t>
      </w:r>
      <w:r w:rsidRPr="00853C88">
        <w:rPr>
          <w:rFonts w:cs="David"/>
          <w:rtl/>
        </w:rPr>
        <w:t>בקבוצות הגיל הצעירות מאד אבל נמו</w:t>
      </w:r>
      <w:r w:rsidR="00593E99" w:rsidRPr="00853C88">
        <w:rPr>
          <w:rFonts w:cs="David" w:hint="cs"/>
          <w:rtl/>
        </w:rPr>
        <w:t>ך</w:t>
      </w:r>
      <w:r w:rsidRPr="00853C88">
        <w:rPr>
          <w:rFonts w:cs="David"/>
          <w:rtl/>
        </w:rPr>
        <w:t xml:space="preserve"> יותר בכל שאר קבוצות הגיל</w:t>
      </w:r>
      <w:r w:rsidR="00920C57" w:rsidRPr="00853C88">
        <w:rPr>
          <w:rFonts w:cs="David" w:hint="cs"/>
          <w:b/>
          <w:bCs/>
          <w:rtl/>
        </w:rPr>
        <w:t xml:space="preserve"> </w:t>
      </w:r>
      <w:r w:rsidR="00920C57" w:rsidRPr="00853C88">
        <w:rPr>
          <w:rFonts w:cs="David" w:hint="cs"/>
          <w:rtl/>
        </w:rPr>
        <w:t>(תרשים 4)</w:t>
      </w:r>
      <w:r w:rsidRPr="00853C88">
        <w:rPr>
          <w:rFonts w:cs="David"/>
          <w:rtl/>
        </w:rPr>
        <w:t>.</w:t>
      </w:r>
      <w:r w:rsidRPr="00853C88">
        <w:rPr>
          <w:rFonts w:cs="David" w:hint="cs"/>
          <w:rtl/>
        </w:rPr>
        <w:t xml:space="preserve"> הגיל הממוצע </w:t>
      </w:r>
      <w:r w:rsidR="00AD7F6F" w:rsidRPr="00853C88">
        <w:rPr>
          <w:rFonts w:cs="David" w:hint="cs"/>
          <w:rtl/>
        </w:rPr>
        <w:t xml:space="preserve">והחציוני </w:t>
      </w:r>
      <w:r w:rsidRPr="00853C88">
        <w:rPr>
          <w:rFonts w:cs="David" w:hint="cs"/>
          <w:rtl/>
        </w:rPr>
        <w:t xml:space="preserve">בעת האבחנה </w:t>
      </w:r>
      <w:r w:rsidR="00492A62" w:rsidRPr="00853C88">
        <w:rPr>
          <w:rFonts w:cs="David" w:hint="cs"/>
          <w:rtl/>
        </w:rPr>
        <w:t>בשנת 201</w:t>
      </w:r>
      <w:r w:rsidR="002B2B60" w:rsidRPr="00853C88">
        <w:rPr>
          <w:rFonts w:cs="David" w:hint="cs"/>
          <w:rtl/>
        </w:rPr>
        <w:t>5</w:t>
      </w:r>
      <w:r w:rsidR="00492A62" w:rsidRPr="00853C88">
        <w:rPr>
          <w:rFonts w:cs="David" w:hint="cs"/>
          <w:rtl/>
        </w:rPr>
        <w:t xml:space="preserve"> </w:t>
      </w:r>
      <w:r w:rsidRPr="00853C88">
        <w:rPr>
          <w:rFonts w:cs="David" w:hint="cs"/>
          <w:rtl/>
        </w:rPr>
        <w:t xml:space="preserve">בנשים יהודיות היה </w:t>
      </w:r>
      <w:r w:rsidR="00203022" w:rsidRPr="00853C88">
        <w:rPr>
          <w:rFonts w:cs="David" w:hint="cs"/>
          <w:rtl/>
        </w:rPr>
        <w:t>60</w:t>
      </w:r>
      <w:r w:rsidR="00BF4612" w:rsidRPr="00853C88">
        <w:rPr>
          <w:rFonts w:cs="David" w:hint="cs"/>
          <w:rtl/>
        </w:rPr>
        <w:t>.</w:t>
      </w:r>
      <w:r w:rsidR="00203022" w:rsidRPr="00853C88">
        <w:rPr>
          <w:rFonts w:cs="David" w:hint="cs"/>
          <w:rtl/>
        </w:rPr>
        <w:t>2</w:t>
      </w:r>
      <w:r w:rsidR="00AD7F6F" w:rsidRPr="00853C88">
        <w:rPr>
          <w:rFonts w:cs="David" w:hint="cs"/>
          <w:rtl/>
        </w:rPr>
        <w:t xml:space="preserve"> ו-</w:t>
      </w:r>
      <w:r w:rsidR="00203022" w:rsidRPr="00853C88">
        <w:rPr>
          <w:rFonts w:cs="David" w:hint="cs"/>
          <w:rtl/>
        </w:rPr>
        <w:t>61</w:t>
      </w:r>
      <w:r w:rsidR="00AD7F6F" w:rsidRPr="00853C88">
        <w:rPr>
          <w:rFonts w:cs="David" w:hint="cs"/>
          <w:rtl/>
        </w:rPr>
        <w:t>.</w:t>
      </w:r>
      <w:r w:rsidR="00203022" w:rsidRPr="00853C88">
        <w:rPr>
          <w:rFonts w:cs="David" w:hint="cs"/>
          <w:rtl/>
        </w:rPr>
        <w:t>0</w:t>
      </w:r>
      <w:r w:rsidR="00AD7F6F" w:rsidRPr="00853C88">
        <w:rPr>
          <w:rFonts w:cs="David" w:hint="cs"/>
          <w:rtl/>
        </w:rPr>
        <w:t>, בהתאמה</w:t>
      </w:r>
      <w:r w:rsidR="00853C88">
        <w:rPr>
          <w:rFonts w:cs="David" w:hint="cs"/>
          <w:rtl/>
        </w:rPr>
        <w:t xml:space="preserve"> (55.4 ו-54.9, בהתאמה, בקרב יהודיות </w:t>
      </w:r>
      <w:r w:rsidR="00853C88" w:rsidRPr="00853C88">
        <w:rPr>
          <w:rFonts w:cs="David" w:hint="cs"/>
          <w:b/>
          <w:bCs/>
          <w:rtl/>
        </w:rPr>
        <w:t>ילידות ישראל</w:t>
      </w:r>
      <w:r w:rsidR="00853C88">
        <w:rPr>
          <w:rFonts w:cs="David" w:hint="cs"/>
          <w:rtl/>
        </w:rPr>
        <w:t>)</w:t>
      </w:r>
      <w:r w:rsidR="00AD7F6F" w:rsidRPr="00853C88">
        <w:rPr>
          <w:rFonts w:cs="David" w:hint="cs"/>
          <w:rtl/>
        </w:rPr>
        <w:t xml:space="preserve">. </w:t>
      </w:r>
      <w:r w:rsidRPr="00853C88">
        <w:rPr>
          <w:rFonts w:cs="David" w:hint="cs"/>
          <w:rtl/>
        </w:rPr>
        <w:t xml:space="preserve">בנשים ערביות היה הגיל הממוצע </w:t>
      </w:r>
      <w:r w:rsidR="00AD7F6F" w:rsidRPr="00853C88">
        <w:rPr>
          <w:rFonts w:cs="David" w:hint="cs"/>
          <w:rtl/>
        </w:rPr>
        <w:t xml:space="preserve">והחציוני </w:t>
      </w:r>
      <w:r w:rsidRPr="00853C88">
        <w:rPr>
          <w:rFonts w:cs="David" w:hint="cs"/>
          <w:rtl/>
        </w:rPr>
        <w:t xml:space="preserve">בעת האבחנה </w:t>
      </w:r>
      <w:r w:rsidR="00BF4612" w:rsidRPr="00853C88">
        <w:rPr>
          <w:rFonts w:cs="David" w:hint="cs"/>
          <w:rtl/>
        </w:rPr>
        <w:t>5</w:t>
      </w:r>
      <w:r w:rsidR="0033570B" w:rsidRPr="00853C88">
        <w:rPr>
          <w:rFonts w:cs="David" w:hint="cs"/>
          <w:rtl/>
        </w:rPr>
        <w:t>3</w:t>
      </w:r>
      <w:r w:rsidR="00BF4612" w:rsidRPr="00853C88">
        <w:rPr>
          <w:rFonts w:cs="David" w:hint="cs"/>
          <w:rtl/>
        </w:rPr>
        <w:t>.</w:t>
      </w:r>
      <w:r w:rsidR="00203022" w:rsidRPr="00853C88">
        <w:rPr>
          <w:rFonts w:cs="David" w:hint="cs"/>
          <w:rtl/>
        </w:rPr>
        <w:t>3</w:t>
      </w:r>
      <w:r w:rsidR="00AD7F6F" w:rsidRPr="00853C88">
        <w:rPr>
          <w:rFonts w:cs="David" w:hint="cs"/>
          <w:rtl/>
        </w:rPr>
        <w:t xml:space="preserve"> ו-5</w:t>
      </w:r>
      <w:r w:rsidR="00203022" w:rsidRPr="00853C88">
        <w:rPr>
          <w:rFonts w:cs="David" w:hint="cs"/>
          <w:rtl/>
        </w:rPr>
        <w:t>1</w:t>
      </w:r>
      <w:r w:rsidR="00AD7F6F" w:rsidRPr="00853C88">
        <w:rPr>
          <w:rFonts w:cs="David" w:hint="cs"/>
          <w:rtl/>
        </w:rPr>
        <w:t>.</w:t>
      </w:r>
      <w:r w:rsidR="00203022" w:rsidRPr="00853C88">
        <w:rPr>
          <w:rFonts w:cs="David" w:hint="cs"/>
          <w:rtl/>
        </w:rPr>
        <w:t>1</w:t>
      </w:r>
      <w:r w:rsidR="00AD7F6F" w:rsidRPr="00853C88">
        <w:rPr>
          <w:rFonts w:cs="David" w:hint="cs"/>
          <w:rtl/>
        </w:rPr>
        <w:t xml:space="preserve">, בהתאמה. </w:t>
      </w:r>
      <w:r w:rsidR="0033570B" w:rsidRPr="00853C88">
        <w:rPr>
          <w:rFonts w:cs="David" w:hint="cs"/>
          <w:rtl/>
        </w:rPr>
        <w:t>בנשים "אחרות" היה הגיל  הממוצע והחציוני בעת האבחנה 5</w:t>
      </w:r>
      <w:r w:rsidR="00203022" w:rsidRPr="00853C88">
        <w:rPr>
          <w:rFonts w:cs="David" w:hint="cs"/>
          <w:rtl/>
        </w:rPr>
        <w:t>3</w:t>
      </w:r>
      <w:r w:rsidR="0033570B" w:rsidRPr="00853C88">
        <w:rPr>
          <w:rFonts w:cs="David" w:hint="cs"/>
          <w:rtl/>
        </w:rPr>
        <w:t>.</w:t>
      </w:r>
      <w:r w:rsidR="00203022" w:rsidRPr="00853C88">
        <w:rPr>
          <w:rFonts w:cs="David" w:hint="cs"/>
          <w:rtl/>
        </w:rPr>
        <w:t>0</w:t>
      </w:r>
      <w:r w:rsidR="0033570B" w:rsidRPr="00853C88">
        <w:rPr>
          <w:rFonts w:cs="David" w:hint="cs"/>
          <w:rtl/>
        </w:rPr>
        <w:t xml:space="preserve"> ו-5</w:t>
      </w:r>
      <w:r w:rsidR="00203022" w:rsidRPr="00853C88">
        <w:rPr>
          <w:rFonts w:cs="David" w:hint="cs"/>
          <w:rtl/>
        </w:rPr>
        <w:t>5</w:t>
      </w:r>
      <w:r w:rsidR="0033570B" w:rsidRPr="00853C88">
        <w:rPr>
          <w:rFonts w:cs="David" w:hint="cs"/>
          <w:rtl/>
        </w:rPr>
        <w:t>.</w:t>
      </w:r>
      <w:r w:rsidR="00203022" w:rsidRPr="00853C88">
        <w:rPr>
          <w:rFonts w:cs="David" w:hint="cs"/>
          <w:rtl/>
        </w:rPr>
        <w:t>0</w:t>
      </w:r>
      <w:r w:rsidR="0033570B" w:rsidRPr="00853C88">
        <w:rPr>
          <w:rFonts w:cs="David" w:hint="cs"/>
          <w:rtl/>
        </w:rPr>
        <w:t>, בהתאמה.</w:t>
      </w:r>
      <w:r w:rsidR="00FD457D" w:rsidRPr="00853C88">
        <w:rPr>
          <w:rFonts w:cs="David" w:hint="cs"/>
          <w:rtl/>
        </w:rPr>
        <w:t xml:space="preserve"> </w:t>
      </w:r>
    </w:p>
    <w:p w:rsidR="0033570B" w:rsidRDefault="0033570B">
      <w:pPr>
        <w:widowControl/>
        <w:suppressAutoHyphens w:val="0"/>
        <w:rPr>
          <w:rFonts w:cs="David"/>
          <w:sz w:val="18"/>
          <w:szCs w:val="18"/>
          <w:rtl/>
        </w:rPr>
      </w:pPr>
    </w:p>
    <w:p w:rsidR="00920C57" w:rsidRPr="00920C57" w:rsidRDefault="00920C57" w:rsidP="002B2B60">
      <w:pPr>
        <w:bidi/>
        <w:spacing w:line="360" w:lineRule="auto"/>
        <w:jc w:val="both"/>
        <w:rPr>
          <w:rFonts w:cs="David"/>
          <w:b/>
          <w:bCs/>
          <w:sz w:val="18"/>
          <w:szCs w:val="18"/>
          <w:rtl/>
        </w:rPr>
      </w:pPr>
      <w:r w:rsidRPr="00203022">
        <w:rPr>
          <w:rFonts w:cs="David" w:hint="cs"/>
          <w:sz w:val="18"/>
          <w:szCs w:val="18"/>
          <w:rtl/>
        </w:rPr>
        <w:lastRenderedPageBreak/>
        <w:t xml:space="preserve">תרשים 4: </w:t>
      </w:r>
      <w:r w:rsidRPr="00203022">
        <w:rPr>
          <w:rFonts w:cs="David" w:hint="cs"/>
          <w:b/>
          <w:bCs/>
          <w:sz w:val="18"/>
          <w:szCs w:val="18"/>
          <w:rtl/>
        </w:rPr>
        <w:t>היארעות סרטן ממוקד של השד בנשים לפי קבוצת אוכלוסייה וקבוצת גיל, ישראל, 20</w:t>
      </w:r>
      <w:r w:rsidR="00492A62" w:rsidRPr="00203022">
        <w:rPr>
          <w:rFonts w:cs="David" w:hint="cs"/>
          <w:b/>
          <w:bCs/>
          <w:sz w:val="18"/>
          <w:szCs w:val="18"/>
          <w:rtl/>
        </w:rPr>
        <w:t>1</w:t>
      </w:r>
      <w:r w:rsidR="002B2B60" w:rsidRPr="00203022">
        <w:rPr>
          <w:rFonts w:cs="David" w:hint="cs"/>
          <w:b/>
          <w:bCs/>
          <w:sz w:val="18"/>
          <w:szCs w:val="18"/>
          <w:rtl/>
        </w:rPr>
        <w:t>5</w:t>
      </w:r>
    </w:p>
    <w:p w:rsidR="00920C57" w:rsidRPr="00655B17" w:rsidRDefault="00203022" w:rsidP="00920C57">
      <w:pPr>
        <w:bidi/>
        <w:spacing w:line="360" w:lineRule="auto"/>
        <w:jc w:val="both"/>
        <w:rPr>
          <w:rFonts w:cs="David"/>
          <w:sz w:val="22"/>
          <w:szCs w:val="22"/>
          <w:rtl/>
        </w:rPr>
      </w:pPr>
      <w:r>
        <w:rPr>
          <w:noProof/>
          <w:lang w:eastAsia="en-US"/>
        </w:rPr>
        <w:drawing>
          <wp:inline distT="0" distB="0" distL="0" distR="0" wp14:anchorId="524F1F42" wp14:editId="406F0CBB">
            <wp:extent cx="5516880" cy="3276600"/>
            <wp:effectExtent l="0" t="0" r="26670" b="1905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C29B1" w:rsidRPr="003B6929" w:rsidRDefault="002C29B1" w:rsidP="002C29B1">
      <w:pPr>
        <w:bidi/>
        <w:spacing w:line="360" w:lineRule="auto"/>
        <w:jc w:val="both"/>
        <w:rPr>
          <w:rFonts w:cs="David"/>
          <w:rtl/>
        </w:rPr>
      </w:pPr>
    </w:p>
    <w:p w:rsidR="002F3A68" w:rsidRPr="003B6929" w:rsidRDefault="0061780A" w:rsidP="00203022">
      <w:pPr>
        <w:bidi/>
        <w:spacing w:line="360" w:lineRule="auto"/>
        <w:jc w:val="both"/>
        <w:rPr>
          <w:rFonts w:cs="David"/>
          <w:b/>
          <w:bCs/>
          <w:color w:val="0000FF"/>
          <w:sz w:val="28"/>
          <w:szCs w:val="28"/>
          <w:rtl/>
        </w:rPr>
      </w:pPr>
      <w:r w:rsidRPr="006F14F1">
        <w:rPr>
          <w:rFonts w:cs="David"/>
          <w:b/>
          <w:bCs/>
          <w:color w:val="0000FF"/>
          <w:sz w:val="28"/>
          <w:szCs w:val="28"/>
        </w:rPr>
        <w:sym w:font="Wingdings 3" w:char="F074"/>
      </w:r>
      <w:r w:rsidRPr="006F14F1">
        <w:rPr>
          <w:rFonts w:cs="David" w:hint="cs"/>
          <w:b/>
          <w:bCs/>
          <w:color w:val="0000FF"/>
          <w:sz w:val="28"/>
          <w:szCs w:val="28"/>
          <w:rtl/>
        </w:rPr>
        <w:t xml:space="preserve"> </w:t>
      </w:r>
      <w:r w:rsidR="002F3A68" w:rsidRPr="00080E32">
        <w:rPr>
          <w:rFonts w:cs="David" w:hint="cs"/>
          <w:b/>
          <w:bCs/>
          <w:color w:val="0000FF"/>
          <w:kern w:val="28"/>
          <w:sz w:val="28"/>
          <w:szCs w:val="28"/>
          <w:rtl/>
        </w:rPr>
        <w:t>שיעור ההימצאות של סרטן ה</w:t>
      </w:r>
      <w:r w:rsidR="003B6929" w:rsidRPr="00080E32">
        <w:rPr>
          <w:rFonts w:cs="David" w:hint="cs"/>
          <w:b/>
          <w:bCs/>
          <w:color w:val="0000FF"/>
          <w:kern w:val="28"/>
          <w:sz w:val="28"/>
          <w:szCs w:val="28"/>
          <w:rtl/>
        </w:rPr>
        <w:t>שד</w:t>
      </w:r>
      <w:r w:rsidR="002F3A68" w:rsidRPr="003B6929">
        <w:rPr>
          <w:rFonts w:cs="David" w:hint="cs"/>
          <w:b/>
          <w:bCs/>
          <w:color w:val="0000FF"/>
          <w:sz w:val="28"/>
          <w:szCs w:val="28"/>
          <w:rtl/>
        </w:rPr>
        <w:t xml:space="preserve"> </w:t>
      </w:r>
      <w:r w:rsidR="003B6929" w:rsidRPr="00920C57">
        <w:rPr>
          <w:rFonts w:cs="David" w:hint="cs"/>
          <w:b/>
          <w:bCs/>
          <w:color w:val="0000FF"/>
          <w:sz w:val="28"/>
          <w:szCs w:val="28"/>
          <w:rtl/>
        </w:rPr>
        <w:t>(</w:t>
      </w:r>
      <w:r w:rsidR="00554ED7" w:rsidRPr="00920C57">
        <w:rPr>
          <w:rFonts w:cs="David" w:hint="cs"/>
          <w:b/>
          <w:bCs/>
          <w:color w:val="0000FF"/>
          <w:sz w:val="28"/>
          <w:szCs w:val="28"/>
          <w:rtl/>
        </w:rPr>
        <w:t>20</w:t>
      </w:r>
      <w:r w:rsidR="009555D3">
        <w:rPr>
          <w:rFonts w:cs="David" w:hint="cs"/>
          <w:b/>
          <w:bCs/>
          <w:color w:val="0000FF"/>
          <w:sz w:val="28"/>
          <w:szCs w:val="28"/>
          <w:rtl/>
        </w:rPr>
        <w:t>1</w:t>
      </w:r>
      <w:r w:rsidR="002B2B60">
        <w:rPr>
          <w:rFonts w:cs="David" w:hint="cs"/>
          <w:b/>
          <w:bCs/>
          <w:color w:val="0000FF"/>
          <w:sz w:val="28"/>
          <w:szCs w:val="28"/>
          <w:rtl/>
        </w:rPr>
        <w:t>1</w:t>
      </w:r>
      <w:r w:rsidR="00554ED7" w:rsidRPr="00920C57">
        <w:rPr>
          <w:rFonts w:cs="David" w:hint="cs"/>
          <w:b/>
          <w:bCs/>
          <w:color w:val="0000FF"/>
          <w:sz w:val="28"/>
          <w:szCs w:val="28"/>
          <w:rtl/>
        </w:rPr>
        <w:t>-</w:t>
      </w:r>
      <w:r w:rsidR="009164FB">
        <w:rPr>
          <w:rFonts w:cs="David" w:hint="cs"/>
          <w:b/>
          <w:bCs/>
          <w:color w:val="0000FF"/>
          <w:sz w:val="28"/>
          <w:szCs w:val="28"/>
          <w:rtl/>
        </w:rPr>
        <w:t>20</w:t>
      </w:r>
      <w:r w:rsidR="00554ED7" w:rsidRPr="00920C57">
        <w:rPr>
          <w:rFonts w:cs="David" w:hint="cs"/>
          <w:b/>
          <w:bCs/>
          <w:color w:val="0000FF"/>
          <w:sz w:val="28"/>
          <w:szCs w:val="28"/>
          <w:rtl/>
        </w:rPr>
        <w:t>1</w:t>
      </w:r>
      <w:r w:rsidR="002B2B60">
        <w:rPr>
          <w:rFonts w:cs="David" w:hint="cs"/>
          <w:b/>
          <w:bCs/>
          <w:color w:val="0000FF"/>
          <w:sz w:val="28"/>
          <w:szCs w:val="28"/>
          <w:rtl/>
        </w:rPr>
        <w:t>5</w:t>
      </w:r>
      <w:r w:rsidR="003B6929" w:rsidRPr="00920C57">
        <w:rPr>
          <w:rFonts w:cs="David" w:hint="cs"/>
          <w:b/>
          <w:bCs/>
          <w:color w:val="0000FF"/>
          <w:sz w:val="28"/>
          <w:szCs w:val="28"/>
          <w:rtl/>
        </w:rPr>
        <w:t>)</w:t>
      </w:r>
    </w:p>
    <w:p w:rsidR="00920C57" w:rsidRPr="00853C88" w:rsidRDefault="00920C57" w:rsidP="00203022">
      <w:pPr>
        <w:bidi/>
        <w:spacing w:line="360" w:lineRule="auto"/>
        <w:jc w:val="both"/>
        <w:rPr>
          <w:rFonts w:cs="David"/>
          <w:rtl/>
        </w:rPr>
      </w:pPr>
      <w:r w:rsidRPr="00853C88">
        <w:rPr>
          <w:rFonts w:cs="David" w:hint="cs"/>
          <w:rtl/>
        </w:rPr>
        <w:t xml:space="preserve">כיום חיות בישראל </w:t>
      </w:r>
      <w:r w:rsidR="00A13B70" w:rsidRPr="00853C88">
        <w:rPr>
          <w:rFonts w:cs="David" w:hint="cs"/>
          <w:b/>
          <w:bCs/>
          <w:rtl/>
        </w:rPr>
        <w:t>2</w:t>
      </w:r>
      <w:r w:rsidR="00203022" w:rsidRPr="00853C88">
        <w:rPr>
          <w:rFonts w:cs="David" w:hint="cs"/>
          <w:b/>
          <w:bCs/>
          <w:rtl/>
        </w:rPr>
        <w:t>2</w:t>
      </w:r>
      <w:r w:rsidR="00A13B70" w:rsidRPr="00853C88">
        <w:rPr>
          <w:rFonts w:cs="David" w:hint="cs"/>
          <w:b/>
          <w:bCs/>
          <w:rtl/>
        </w:rPr>
        <w:t>,</w:t>
      </w:r>
      <w:r w:rsidR="00203022" w:rsidRPr="00853C88">
        <w:rPr>
          <w:rFonts w:cs="David" w:hint="cs"/>
          <w:b/>
          <w:bCs/>
          <w:rtl/>
        </w:rPr>
        <w:t>481</w:t>
      </w:r>
      <w:r w:rsidR="00A13B70" w:rsidRPr="00853C88">
        <w:rPr>
          <w:rFonts w:cs="David" w:hint="cs"/>
          <w:b/>
          <w:bCs/>
          <w:rtl/>
        </w:rPr>
        <w:t xml:space="preserve"> </w:t>
      </w:r>
      <w:r w:rsidRPr="00853C88">
        <w:rPr>
          <w:rFonts w:cs="David" w:hint="cs"/>
          <w:rtl/>
        </w:rPr>
        <w:t xml:space="preserve"> נשים שאובחנו עם סרטן השד בשנים 20</w:t>
      </w:r>
      <w:r w:rsidR="009555D3" w:rsidRPr="00853C88">
        <w:rPr>
          <w:rFonts w:cs="David" w:hint="cs"/>
          <w:rtl/>
        </w:rPr>
        <w:t>1</w:t>
      </w:r>
      <w:r w:rsidR="002B2B60" w:rsidRPr="00853C88">
        <w:rPr>
          <w:rFonts w:cs="David" w:hint="cs"/>
          <w:rtl/>
        </w:rPr>
        <w:t>1</w:t>
      </w:r>
      <w:r w:rsidRPr="00853C88">
        <w:rPr>
          <w:rFonts w:cs="David" w:hint="cs"/>
          <w:rtl/>
        </w:rPr>
        <w:t>-201</w:t>
      </w:r>
      <w:r w:rsidR="002B2B60" w:rsidRPr="00853C88">
        <w:rPr>
          <w:rFonts w:cs="David" w:hint="cs"/>
          <w:rtl/>
        </w:rPr>
        <w:t>5</w:t>
      </w:r>
      <w:r w:rsidRPr="00853C88">
        <w:rPr>
          <w:rFonts w:cs="David" w:hint="cs"/>
          <w:rtl/>
        </w:rPr>
        <w:t xml:space="preserve"> ושהחלימו או שעדיין מתמודדות עם המחלה, מהן </w:t>
      </w:r>
      <w:r w:rsidR="007E7D60" w:rsidRPr="00853C88">
        <w:rPr>
          <w:rFonts w:cs="David" w:hint="cs"/>
          <w:rtl/>
        </w:rPr>
        <w:t>19,</w:t>
      </w:r>
      <w:r w:rsidR="00203022" w:rsidRPr="00853C88">
        <w:rPr>
          <w:rFonts w:cs="David" w:hint="cs"/>
          <w:rtl/>
        </w:rPr>
        <w:t>889</w:t>
      </w:r>
      <w:r w:rsidR="00A13B70" w:rsidRPr="00853C88">
        <w:rPr>
          <w:rFonts w:cs="David" w:hint="cs"/>
          <w:rtl/>
        </w:rPr>
        <w:t xml:space="preserve"> </w:t>
      </w:r>
      <w:r w:rsidRPr="00853C88">
        <w:rPr>
          <w:rFonts w:cs="David" w:hint="cs"/>
          <w:rtl/>
        </w:rPr>
        <w:t>שאובחנו עם מחלה חודרנית ו</w:t>
      </w:r>
      <w:r w:rsidR="00A13B70" w:rsidRPr="00853C88">
        <w:rPr>
          <w:rFonts w:cs="David" w:hint="cs"/>
          <w:rtl/>
        </w:rPr>
        <w:t>-2,</w:t>
      </w:r>
      <w:r w:rsidR="00203022" w:rsidRPr="00853C88">
        <w:rPr>
          <w:rFonts w:cs="David" w:hint="cs"/>
          <w:rtl/>
        </w:rPr>
        <w:t>592</w:t>
      </w:r>
      <w:r w:rsidRPr="00853C88">
        <w:rPr>
          <w:rFonts w:cs="David" w:hint="cs"/>
          <w:rtl/>
        </w:rPr>
        <w:t xml:space="preserve"> נשים שאובחנו עם מחלה ממוקדת. </w:t>
      </w:r>
    </w:p>
    <w:p w:rsidR="0039444A" w:rsidRPr="00853C88" w:rsidRDefault="0039444A" w:rsidP="00BA05CD">
      <w:pPr>
        <w:bidi/>
        <w:spacing w:line="360" w:lineRule="auto"/>
        <w:jc w:val="both"/>
        <w:rPr>
          <w:rFonts w:cs="David"/>
          <w:rtl/>
        </w:rPr>
      </w:pPr>
    </w:p>
    <w:p w:rsidR="0061780A" w:rsidRPr="00080E32" w:rsidRDefault="0061780A" w:rsidP="00346F6C">
      <w:pPr>
        <w:bidi/>
        <w:spacing w:line="360" w:lineRule="auto"/>
        <w:jc w:val="both"/>
        <w:rPr>
          <w:rFonts w:cs="David"/>
          <w:b/>
          <w:bCs/>
          <w:color w:val="0000FF"/>
          <w:kern w:val="28"/>
          <w:sz w:val="28"/>
          <w:szCs w:val="28"/>
          <w:rtl/>
        </w:rPr>
      </w:pPr>
      <w:r w:rsidRPr="00080E32">
        <w:rPr>
          <w:rFonts w:cs="David" w:hint="cs"/>
          <w:b/>
          <w:bCs/>
          <w:color w:val="0000FF"/>
          <w:kern w:val="28"/>
          <w:sz w:val="28"/>
          <w:szCs w:val="28"/>
        </w:rPr>
        <w:sym w:font="Wingdings 3" w:char="F074"/>
      </w:r>
      <w:r w:rsidRPr="00080E32">
        <w:rPr>
          <w:rFonts w:cs="David" w:hint="cs"/>
          <w:b/>
          <w:bCs/>
          <w:color w:val="0000FF"/>
          <w:kern w:val="28"/>
          <w:sz w:val="28"/>
          <w:szCs w:val="28"/>
          <w:rtl/>
        </w:rPr>
        <w:t xml:space="preserve"> שיעורי </w:t>
      </w:r>
      <w:r w:rsidRPr="006207F8">
        <w:rPr>
          <w:rFonts w:cs="David" w:hint="cs"/>
          <w:b/>
          <w:bCs/>
          <w:color w:val="0000FF"/>
          <w:kern w:val="28"/>
          <w:sz w:val="28"/>
          <w:szCs w:val="28"/>
          <w:rtl/>
        </w:rPr>
        <w:t>ההישרדות מסרטן ה</w:t>
      </w:r>
      <w:r w:rsidR="00346F6C" w:rsidRPr="006207F8">
        <w:rPr>
          <w:rFonts w:cs="David" w:hint="cs"/>
          <w:b/>
          <w:bCs/>
          <w:color w:val="0000FF"/>
          <w:kern w:val="28"/>
          <w:sz w:val="28"/>
          <w:szCs w:val="28"/>
          <w:rtl/>
        </w:rPr>
        <w:t>שד</w:t>
      </w:r>
    </w:p>
    <w:p w:rsidR="00B8260B" w:rsidRPr="00853C88" w:rsidRDefault="00B8260B" w:rsidP="006207F8">
      <w:pPr>
        <w:bidi/>
        <w:spacing w:line="360" w:lineRule="auto"/>
        <w:jc w:val="both"/>
        <w:rPr>
          <w:rFonts w:cs="David"/>
          <w:rtl/>
        </w:rPr>
      </w:pPr>
      <w:r w:rsidRPr="00853C88">
        <w:rPr>
          <w:rFonts w:cs="David" w:hint="cs"/>
          <w:rtl/>
        </w:rPr>
        <w:t xml:space="preserve">ההישרדות היחסית ל-5 שנים מבטאת את הישרדותם של מי שאובחנו עם מחלה מסוימת ביחס להישרדותה של קבוצת האוכלוסייה התואמת להם בגיל, באותה תקופת זמן. </w:t>
      </w:r>
      <w:r w:rsidR="00061D24" w:rsidRPr="00853C88">
        <w:rPr>
          <w:rFonts w:cs="David" w:hint="cs"/>
          <w:rtl/>
        </w:rPr>
        <w:t xml:space="preserve">ההישרדות היחסית מסרטן חודרני של </w:t>
      </w:r>
      <w:r w:rsidRPr="00853C88">
        <w:rPr>
          <w:rFonts w:cs="David" w:hint="cs"/>
          <w:rtl/>
        </w:rPr>
        <w:t xml:space="preserve">השד ל-5 שנים בקרב נשים יהודיות </w:t>
      </w:r>
      <w:r w:rsidR="006207F8" w:rsidRPr="00853C88">
        <w:rPr>
          <w:rFonts w:cs="David" w:hint="cs"/>
          <w:rtl/>
        </w:rPr>
        <w:t>ו</w:t>
      </w:r>
      <w:r w:rsidR="00655B17" w:rsidRPr="00853C88">
        <w:rPr>
          <w:rFonts w:cs="David" w:hint="cs"/>
          <w:rtl/>
        </w:rPr>
        <w:t xml:space="preserve">ערביות </w:t>
      </w:r>
      <w:r w:rsidR="00207157" w:rsidRPr="00853C88">
        <w:rPr>
          <w:rFonts w:cs="David" w:hint="cs"/>
          <w:rtl/>
        </w:rPr>
        <w:t>שאובחנו בשנים 200</w:t>
      </w:r>
      <w:r w:rsidR="006207F8" w:rsidRPr="00853C88">
        <w:rPr>
          <w:rFonts w:cs="David" w:hint="cs"/>
          <w:rtl/>
        </w:rPr>
        <w:t>5</w:t>
      </w:r>
      <w:r w:rsidR="00207157" w:rsidRPr="00853C88">
        <w:rPr>
          <w:rFonts w:cs="David" w:hint="cs"/>
          <w:rtl/>
        </w:rPr>
        <w:t>-20</w:t>
      </w:r>
      <w:r w:rsidR="006207F8" w:rsidRPr="00853C88">
        <w:rPr>
          <w:rFonts w:cs="David" w:hint="cs"/>
          <w:rtl/>
        </w:rPr>
        <w:t>09</w:t>
      </w:r>
      <w:r w:rsidR="00207157" w:rsidRPr="00853C88">
        <w:rPr>
          <w:rFonts w:cs="David" w:hint="cs"/>
          <w:rtl/>
        </w:rPr>
        <w:t xml:space="preserve"> הייתה</w:t>
      </w:r>
      <w:r w:rsidR="00655B17" w:rsidRPr="00853C88">
        <w:rPr>
          <w:rFonts w:cs="David" w:hint="cs"/>
          <w:rtl/>
        </w:rPr>
        <w:t xml:space="preserve"> </w:t>
      </w:r>
      <w:r w:rsidR="006207F8" w:rsidRPr="00853C88">
        <w:rPr>
          <w:rFonts w:cs="David" w:hint="cs"/>
          <w:rtl/>
        </w:rPr>
        <w:t>89.7</w:t>
      </w:r>
      <w:r w:rsidR="00207157" w:rsidRPr="00853C88">
        <w:rPr>
          <w:rFonts w:cs="David" w:hint="cs"/>
          <w:rtl/>
        </w:rPr>
        <w:t>% ו-</w:t>
      </w:r>
      <w:r w:rsidR="006207F8" w:rsidRPr="00853C88">
        <w:rPr>
          <w:rFonts w:cs="David" w:hint="cs"/>
          <w:rtl/>
        </w:rPr>
        <w:t>84.4</w:t>
      </w:r>
      <w:r w:rsidR="00207157" w:rsidRPr="00853C88">
        <w:rPr>
          <w:rFonts w:cs="David" w:hint="cs"/>
          <w:rtl/>
        </w:rPr>
        <w:t xml:space="preserve">%, בהתאמה. </w:t>
      </w:r>
      <w:r w:rsidR="006207F8" w:rsidRPr="00853C88">
        <w:rPr>
          <w:rFonts w:cs="David" w:hint="cs"/>
          <w:rtl/>
        </w:rPr>
        <w:t>בקרב נשים יהודיות וערביות שאובחנו בשנים 1999-2004, היה שיעור ההישרדות היחסית לחמש שנים 86.3% ו-76.9%, בהתאמה.</w:t>
      </w:r>
    </w:p>
    <w:p w:rsidR="00061D24" w:rsidRDefault="00061D24" w:rsidP="00061D24">
      <w:pPr>
        <w:bidi/>
        <w:spacing w:line="360" w:lineRule="auto"/>
        <w:jc w:val="both"/>
        <w:rPr>
          <w:rFonts w:cs="David"/>
          <w:rtl/>
        </w:rPr>
      </w:pPr>
    </w:p>
    <w:p w:rsidR="0061780A" w:rsidRPr="001332B2" w:rsidRDefault="0061780A" w:rsidP="002C358C">
      <w:pPr>
        <w:bidi/>
        <w:spacing w:line="360" w:lineRule="auto"/>
        <w:jc w:val="both"/>
        <w:rPr>
          <w:rFonts w:cs="David"/>
          <w:color w:val="0000FF"/>
          <w:rtl/>
        </w:rPr>
      </w:pPr>
      <w:r w:rsidRPr="001332B2">
        <w:rPr>
          <w:rFonts w:cs="David" w:hint="cs"/>
          <w:b/>
          <w:bCs/>
          <w:color w:val="0000FF"/>
          <w:sz w:val="28"/>
          <w:szCs w:val="28"/>
        </w:rPr>
        <w:sym w:font="Wingdings 3" w:char="F074"/>
      </w:r>
      <w:r w:rsidRPr="001332B2">
        <w:rPr>
          <w:rFonts w:cs="David" w:hint="cs"/>
          <w:b/>
          <w:bCs/>
          <w:color w:val="0000FF"/>
          <w:sz w:val="28"/>
          <w:szCs w:val="28"/>
          <w:rtl/>
        </w:rPr>
        <w:t xml:space="preserve"> </w:t>
      </w:r>
      <w:r w:rsidRPr="00080E32">
        <w:rPr>
          <w:rFonts w:cs="David" w:hint="cs"/>
          <w:b/>
          <w:bCs/>
          <w:color w:val="0000FF"/>
          <w:kern w:val="28"/>
          <w:sz w:val="28"/>
          <w:szCs w:val="28"/>
          <w:rtl/>
        </w:rPr>
        <w:t xml:space="preserve">שיעורי התמותה מסרטן </w:t>
      </w:r>
      <w:r w:rsidR="000A67F0">
        <w:rPr>
          <w:rFonts w:cs="David" w:hint="cs"/>
          <w:b/>
          <w:bCs/>
          <w:color w:val="0000FF"/>
          <w:kern w:val="28"/>
          <w:sz w:val="28"/>
          <w:szCs w:val="28"/>
          <w:rtl/>
        </w:rPr>
        <w:t xml:space="preserve">חודרני של </w:t>
      </w:r>
      <w:r w:rsidRPr="00080E32">
        <w:rPr>
          <w:rFonts w:cs="David" w:hint="cs"/>
          <w:b/>
          <w:bCs/>
          <w:color w:val="0000FF"/>
          <w:kern w:val="28"/>
          <w:sz w:val="28"/>
          <w:szCs w:val="28"/>
          <w:rtl/>
        </w:rPr>
        <w:t>ה</w:t>
      </w:r>
      <w:r w:rsidR="002C358C" w:rsidRPr="00080E32">
        <w:rPr>
          <w:rFonts w:cs="David" w:hint="cs"/>
          <w:b/>
          <w:bCs/>
          <w:color w:val="0000FF"/>
          <w:kern w:val="28"/>
          <w:sz w:val="28"/>
          <w:szCs w:val="28"/>
          <w:rtl/>
        </w:rPr>
        <w:t>שד</w:t>
      </w:r>
      <w:r w:rsidR="00465D52" w:rsidRPr="00080E32">
        <w:rPr>
          <w:rFonts w:cs="David" w:hint="cs"/>
          <w:b/>
          <w:bCs/>
          <w:color w:val="0000FF"/>
          <w:kern w:val="28"/>
          <w:sz w:val="28"/>
          <w:szCs w:val="28"/>
          <w:rtl/>
        </w:rPr>
        <w:t xml:space="preserve"> ומגמות עיתיות</w:t>
      </w:r>
    </w:p>
    <w:p w:rsidR="00A21A77" w:rsidRPr="00853C88" w:rsidRDefault="00D64DFD" w:rsidP="001E0BA3">
      <w:pPr>
        <w:bidi/>
        <w:spacing w:line="360" w:lineRule="auto"/>
        <w:jc w:val="both"/>
        <w:rPr>
          <w:rFonts w:cs="David"/>
          <w:rtl/>
        </w:rPr>
      </w:pPr>
      <w:r w:rsidRPr="00853C88">
        <w:rPr>
          <w:rFonts w:cs="David" w:hint="cs"/>
          <w:rtl/>
        </w:rPr>
        <w:t>סרטן ה</w:t>
      </w:r>
      <w:r w:rsidR="003E1177" w:rsidRPr="00853C88">
        <w:rPr>
          <w:rFonts w:cs="David" w:hint="cs"/>
          <w:rtl/>
        </w:rPr>
        <w:t xml:space="preserve">שד </w:t>
      </w:r>
      <w:r w:rsidRPr="00853C88">
        <w:rPr>
          <w:rFonts w:cs="David" w:hint="cs"/>
          <w:rtl/>
        </w:rPr>
        <w:t>הוא הסרטן ה</w:t>
      </w:r>
      <w:r w:rsidR="003E1177" w:rsidRPr="00853C88">
        <w:rPr>
          <w:rFonts w:cs="David" w:hint="cs"/>
          <w:rtl/>
        </w:rPr>
        <w:t xml:space="preserve">ראשון </w:t>
      </w:r>
      <w:r w:rsidRPr="00853C88">
        <w:rPr>
          <w:rFonts w:cs="David" w:hint="cs"/>
          <w:rtl/>
        </w:rPr>
        <w:t>בשכיחותו כגורם תמותה ב</w:t>
      </w:r>
      <w:r w:rsidR="003E1177" w:rsidRPr="00853C88">
        <w:rPr>
          <w:rFonts w:cs="David" w:hint="cs"/>
          <w:rtl/>
        </w:rPr>
        <w:t xml:space="preserve">נשים מכל קבוצות האוכלוסייה </w:t>
      </w:r>
      <w:r w:rsidRPr="00853C88">
        <w:rPr>
          <w:rFonts w:cs="David" w:hint="cs"/>
          <w:rtl/>
        </w:rPr>
        <w:t>בישראל</w:t>
      </w:r>
      <w:r w:rsidR="000A67F0" w:rsidRPr="00853C88">
        <w:rPr>
          <w:rFonts w:cs="David" w:hint="cs"/>
          <w:rtl/>
        </w:rPr>
        <w:t>, מה שלא מפתיע</w:t>
      </w:r>
      <w:r w:rsidR="00A21A77" w:rsidRPr="00853C88">
        <w:rPr>
          <w:rFonts w:cs="David" w:hint="cs"/>
          <w:rtl/>
        </w:rPr>
        <w:t xml:space="preserve">, שכן </w:t>
      </w:r>
      <w:r w:rsidR="000A67F0" w:rsidRPr="00853C88">
        <w:rPr>
          <w:rFonts w:cs="David" w:hint="cs"/>
          <w:rtl/>
        </w:rPr>
        <w:t>קיים ק</w:t>
      </w:r>
      <w:r w:rsidR="000959BD" w:rsidRPr="00853C88">
        <w:rPr>
          <w:rFonts w:cs="David" w:hint="cs"/>
          <w:rtl/>
        </w:rPr>
        <w:t>שר ישיר בין שיעורי היארעות לשיעורי תמותה.</w:t>
      </w:r>
      <w:r w:rsidR="00A21A77" w:rsidRPr="00853C88">
        <w:rPr>
          <w:rFonts w:cs="David" w:hint="cs"/>
          <w:rtl/>
        </w:rPr>
        <w:t xml:space="preserve"> </w:t>
      </w:r>
      <w:r w:rsidR="006D51BD" w:rsidRPr="00853C88">
        <w:rPr>
          <w:rFonts w:cs="David"/>
          <w:rtl/>
        </w:rPr>
        <w:t>בשנת</w:t>
      </w:r>
      <w:r w:rsidR="006D51BD" w:rsidRPr="00853C88">
        <w:rPr>
          <w:rFonts w:cs="David" w:hint="cs"/>
          <w:rtl/>
        </w:rPr>
        <w:t xml:space="preserve"> 201</w:t>
      </w:r>
      <w:r w:rsidR="002B2B60" w:rsidRPr="00853C88">
        <w:rPr>
          <w:rFonts w:cs="David" w:hint="cs"/>
          <w:rtl/>
        </w:rPr>
        <w:t>5</w:t>
      </w:r>
      <w:r w:rsidR="00582358" w:rsidRPr="00853C88">
        <w:rPr>
          <w:rFonts w:cs="David"/>
          <w:rtl/>
        </w:rPr>
        <w:t xml:space="preserve"> </w:t>
      </w:r>
      <w:r w:rsidR="00DE1871" w:rsidRPr="00853C88">
        <w:rPr>
          <w:rFonts w:cs="David" w:hint="cs"/>
          <w:rtl/>
        </w:rPr>
        <w:t>היה</w:t>
      </w:r>
      <w:r w:rsidR="000A67F0" w:rsidRPr="00853C88">
        <w:rPr>
          <w:rFonts w:cs="David" w:hint="cs"/>
          <w:rtl/>
        </w:rPr>
        <w:t xml:space="preserve"> סרטן השד </w:t>
      </w:r>
      <w:r w:rsidR="00DE1871" w:rsidRPr="00853C88">
        <w:rPr>
          <w:rFonts w:cs="David" w:hint="cs"/>
          <w:rtl/>
        </w:rPr>
        <w:t>אחראי ל</w:t>
      </w:r>
      <w:r w:rsidR="00CD45D8" w:rsidRPr="00853C88">
        <w:rPr>
          <w:rFonts w:cs="David" w:hint="cs"/>
          <w:rtl/>
        </w:rPr>
        <w:t>-18.</w:t>
      </w:r>
      <w:r w:rsidR="003D44FD" w:rsidRPr="00853C88">
        <w:rPr>
          <w:rFonts w:cs="David" w:hint="cs"/>
          <w:rtl/>
        </w:rPr>
        <w:t>4</w:t>
      </w:r>
      <w:r w:rsidR="00CD45D8" w:rsidRPr="00853C88">
        <w:rPr>
          <w:rFonts w:cs="David" w:hint="cs"/>
          <w:rtl/>
        </w:rPr>
        <w:t>%</w:t>
      </w:r>
      <w:r w:rsidR="000A67F0" w:rsidRPr="00853C88">
        <w:rPr>
          <w:rFonts w:cs="David" w:hint="cs"/>
          <w:rtl/>
        </w:rPr>
        <w:t xml:space="preserve"> מכלל התמותה מסרטן ב</w:t>
      </w:r>
      <w:r w:rsidR="00A9207B" w:rsidRPr="00853C88">
        <w:rPr>
          <w:rFonts w:cs="David" w:hint="cs"/>
          <w:rtl/>
        </w:rPr>
        <w:t xml:space="preserve">קרב </w:t>
      </w:r>
      <w:r w:rsidR="000A67F0" w:rsidRPr="00853C88">
        <w:rPr>
          <w:rFonts w:cs="David" w:hint="cs"/>
          <w:rtl/>
        </w:rPr>
        <w:t>נשים יהודיות</w:t>
      </w:r>
      <w:r w:rsidR="008D3809" w:rsidRPr="00853C88">
        <w:rPr>
          <w:rFonts w:cs="David" w:hint="cs"/>
          <w:rtl/>
        </w:rPr>
        <w:t>, ל</w:t>
      </w:r>
      <w:r w:rsidR="00CD45D8" w:rsidRPr="00853C88">
        <w:rPr>
          <w:rFonts w:cs="David" w:hint="cs"/>
          <w:rtl/>
        </w:rPr>
        <w:t>-</w:t>
      </w:r>
      <w:r w:rsidR="008D3809" w:rsidRPr="00853C88">
        <w:rPr>
          <w:rFonts w:cs="David" w:hint="cs"/>
          <w:rtl/>
        </w:rPr>
        <w:t>2</w:t>
      </w:r>
      <w:r w:rsidR="003D44FD" w:rsidRPr="00853C88">
        <w:rPr>
          <w:rFonts w:cs="David" w:hint="cs"/>
          <w:rtl/>
        </w:rPr>
        <w:t>4</w:t>
      </w:r>
      <w:r w:rsidR="008D3809" w:rsidRPr="00853C88">
        <w:rPr>
          <w:rFonts w:cs="David" w:hint="cs"/>
          <w:rtl/>
        </w:rPr>
        <w:t>.</w:t>
      </w:r>
      <w:r w:rsidR="00CD45D8" w:rsidRPr="00853C88">
        <w:rPr>
          <w:rFonts w:cs="David" w:hint="cs"/>
          <w:rtl/>
        </w:rPr>
        <w:t>8</w:t>
      </w:r>
      <w:r w:rsidR="008D3809" w:rsidRPr="00853C88">
        <w:rPr>
          <w:rFonts w:cs="David" w:hint="cs"/>
          <w:rtl/>
        </w:rPr>
        <w:t xml:space="preserve">% מכלל התמותה מסרטן בקרב </w:t>
      </w:r>
      <w:r w:rsidR="00A21A77" w:rsidRPr="00853C88">
        <w:rPr>
          <w:rFonts w:cs="David" w:hint="cs"/>
          <w:rtl/>
        </w:rPr>
        <w:t xml:space="preserve"> </w:t>
      </w:r>
      <w:r w:rsidR="000A67F0" w:rsidRPr="00853C88">
        <w:rPr>
          <w:rFonts w:cs="David" w:hint="cs"/>
          <w:rtl/>
        </w:rPr>
        <w:t>נשים ערביות</w:t>
      </w:r>
      <w:r w:rsidR="00A21A77" w:rsidRPr="00853C88">
        <w:rPr>
          <w:rFonts w:cs="David" w:hint="cs"/>
          <w:rtl/>
        </w:rPr>
        <w:t>, ו</w:t>
      </w:r>
      <w:r w:rsidR="00DE1871" w:rsidRPr="00853C88">
        <w:rPr>
          <w:rFonts w:cs="David" w:hint="cs"/>
          <w:rtl/>
        </w:rPr>
        <w:t>ל</w:t>
      </w:r>
      <w:r w:rsidR="008D3809" w:rsidRPr="00853C88">
        <w:rPr>
          <w:rFonts w:cs="David" w:hint="cs"/>
          <w:rtl/>
        </w:rPr>
        <w:t>-1</w:t>
      </w:r>
      <w:r w:rsidR="003D44FD" w:rsidRPr="00853C88">
        <w:rPr>
          <w:rFonts w:cs="David" w:hint="cs"/>
          <w:rtl/>
        </w:rPr>
        <w:t>9</w:t>
      </w:r>
      <w:r w:rsidR="008D3809" w:rsidRPr="00853C88">
        <w:rPr>
          <w:rFonts w:cs="David" w:hint="cs"/>
          <w:rtl/>
        </w:rPr>
        <w:t>.</w:t>
      </w:r>
      <w:r w:rsidR="003D44FD" w:rsidRPr="00853C88">
        <w:rPr>
          <w:rFonts w:cs="David" w:hint="cs"/>
          <w:rtl/>
        </w:rPr>
        <w:t>2</w:t>
      </w:r>
      <w:r w:rsidR="008D3809" w:rsidRPr="00853C88">
        <w:rPr>
          <w:rFonts w:cs="David" w:hint="cs"/>
          <w:rtl/>
        </w:rPr>
        <w:t xml:space="preserve">% </w:t>
      </w:r>
      <w:r w:rsidR="00A21A77" w:rsidRPr="00853C88">
        <w:rPr>
          <w:rFonts w:cs="David" w:hint="cs"/>
          <w:rtl/>
        </w:rPr>
        <w:t>מכלל התמותה מסרטן בקרב נשים "אחרות"</w:t>
      </w:r>
      <w:r w:rsidR="000A67F0" w:rsidRPr="00853C88">
        <w:rPr>
          <w:rFonts w:cs="David" w:hint="cs"/>
          <w:rtl/>
        </w:rPr>
        <w:t xml:space="preserve">. </w:t>
      </w:r>
    </w:p>
    <w:p w:rsidR="00582358" w:rsidRPr="00853C88" w:rsidRDefault="000A67F0" w:rsidP="009B5D59">
      <w:pPr>
        <w:bidi/>
        <w:spacing w:line="360" w:lineRule="auto"/>
        <w:jc w:val="both"/>
        <w:rPr>
          <w:rFonts w:cs="David"/>
          <w:rtl/>
        </w:rPr>
      </w:pPr>
      <w:r w:rsidRPr="00853C88">
        <w:rPr>
          <w:rFonts w:cs="David" w:hint="cs"/>
          <w:rtl/>
        </w:rPr>
        <w:t>בשנת 201</w:t>
      </w:r>
      <w:r w:rsidR="002B2B60" w:rsidRPr="00853C88">
        <w:rPr>
          <w:rFonts w:cs="David" w:hint="cs"/>
          <w:rtl/>
        </w:rPr>
        <w:t>5</w:t>
      </w:r>
      <w:r w:rsidRPr="00853C88">
        <w:rPr>
          <w:rFonts w:cs="David" w:hint="cs"/>
          <w:rtl/>
        </w:rPr>
        <w:t xml:space="preserve"> נפטרו מסרטן חודרני של השד </w:t>
      </w:r>
      <w:r w:rsidR="008D3809" w:rsidRPr="00853C88">
        <w:rPr>
          <w:rFonts w:cs="David" w:hint="cs"/>
          <w:b/>
          <w:bCs/>
          <w:rtl/>
        </w:rPr>
        <w:t>1,0</w:t>
      </w:r>
      <w:r w:rsidR="009B5D59" w:rsidRPr="00853C88">
        <w:rPr>
          <w:rFonts w:cs="David" w:hint="cs"/>
          <w:b/>
          <w:bCs/>
          <w:rtl/>
        </w:rPr>
        <w:t>26</w:t>
      </w:r>
      <w:r w:rsidRPr="00853C88">
        <w:rPr>
          <w:rFonts w:cs="David" w:hint="cs"/>
          <w:rtl/>
        </w:rPr>
        <w:t xml:space="preserve"> נשים</w:t>
      </w:r>
      <w:r w:rsidR="00CD45D8" w:rsidRPr="00853C88">
        <w:rPr>
          <w:rFonts w:cs="David" w:hint="cs"/>
          <w:rtl/>
        </w:rPr>
        <w:t xml:space="preserve"> בישראל</w:t>
      </w:r>
      <w:r w:rsidRPr="00853C88">
        <w:rPr>
          <w:rFonts w:cs="David" w:hint="cs"/>
          <w:rtl/>
        </w:rPr>
        <w:t xml:space="preserve">, מהן </w:t>
      </w:r>
      <w:r w:rsidR="00CD45D8" w:rsidRPr="00853C88">
        <w:rPr>
          <w:rFonts w:cs="David" w:hint="cs"/>
          <w:rtl/>
        </w:rPr>
        <w:t>8</w:t>
      </w:r>
      <w:r w:rsidR="009B5D59" w:rsidRPr="00853C88">
        <w:rPr>
          <w:rFonts w:cs="David" w:hint="cs"/>
          <w:rtl/>
        </w:rPr>
        <w:t>65</w:t>
      </w:r>
      <w:r w:rsidR="00A7543A" w:rsidRPr="00853C88">
        <w:rPr>
          <w:rFonts w:cs="David" w:hint="cs"/>
          <w:b/>
          <w:bCs/>
          <w:rtl/>
        </w:rPr>
        <w:t xml:space="preserve"> </w:t>
      </w:r>
      <w:r w:rsidR="00FF79E5" w:rsidRPr="00853C88">
        <w:rPr>
          <w:rFonts w:cs="David" w:hint="cs"/>
          <w:rtl/>
        </w:rPr>
        <w:t>(</w:t>
      </w:r>
      <w:r w:rsidR="00DE1871" w:rsidRPr="00853C88">
        <w:rPr>
          <w:rFonts w:cs="David" w:hint="cs"/>
          <w:rtl/>
        </w:rPr>
        <w:t>8</w:t>
      </w:r>
      <w:r w:rsidR="009B5D59" w:rsidRPr="00853C88">
        <w:rPr>
          <w:rFonts w:cs="David" w:hint="cs"/>
          <w:rtl/>
        </w:rPr>
        <w:t>4</w:t>
      </w:r>
      <w:r w:rsidR="00DE1871" w:rsidRPr="00853C88">
        <w:rPr>
          <w:rFonts w:cs="David" w:hint="cs"/>
          <w:rtl/>
        </w:rPr>
        <w:t>.</w:t>
      </w:r>
      <w:r w:rsidR="00310FC9" w:rsidRPr="00853C88">
        <w:rPr>
          <w:rFonts w:cs="David" w:hint="cs"/>
          <w:rtl/>
        </w:rPr>
        <w:t>3</w:t>
      </w:r>
      <w:r w:rsidR="00FF79E5" w:rsidRPr="00853C88">
        <w:rPr>
          <w:rFonts w:cs="David" w:hint="cs"/>
          <w:rtl/>
        </w:rPr>
        <w:t xml:space="preserve">%) </w:t>
      </w:r>
      <w:r w:rsidR="00582358" w:rsidRPr="00853C88">
        <w:rPr>
          <w:rFonts w:cs="David" w:hint="cs"/>
          <w:rtl/>
        </w:rPr>
        <w:t>יהודי</w:t>
      </w:r>
      <w:r w:rsidR="003E1177" w:rsidRPr="00853C88">
        <w:rPr>
          <w:rFonts w:cs="David" w:hint="cs"/>
          <w:rtl/>
        </w:rPr>
        <w:t>ות</w:t>
      </w:r>
      <w:r w:rsidR="00582358" w:rsidRPr="00853C88">
        <w:rPr>
          <w:rFonts w:cs="David" w:hint="cs"/>
          <w:rtl/>
        </w:rPr>
        <w:t xml:space="preserve">, </w:t>
      </w:r>
      <w:r w:rsidR="009B5D59" w:rsidRPr="00853C88">
        <w:rPr>
          <w:rFonts w:cs="David" w:hint="cs"/>
          <w:rtl/>
        </w:rPr>
        <w:t>112</w:t>
      </w:r>
      <w:r w:rsidRPr="00853C88">
        <w:rPr>
          <w:rFonts w:cs="David" w:hint="cs"/>
          <w:rtl/>
        </w:rPr>
        <w:t xml:space="preserve"> (</w:t>
      </w:r>
      <w:r w:rsidR="009B5D59" w:rsidRPr="00853C88">
        <w:rPr>
          <w:rFonts w:cs="David" w:hint="cs"/>
          <w:rtl/>
        </w:rPr>
        <w:t>10</w:t>
      </w:r>
      <w:r w:rsidR="00DE1871" w:rsidRPr="00853C88">
        <w:rPr>
          <w:rFonts w:cs="David" w:hint="cs"/>
          <w:rtl/>
        </w:rPr>
        <w:t>.</w:t>
      </w:r>
      <w:r w:rsidR="009B5D59" w:rsidRPr="00853C88">
        <w:rPr>
          <w:rFonts w:cs="David" w:hint="cs"/>
          <w:rtl/>
        </w:rPr>
        <w:t>9</w:t>
      </w:r>
      <w:r w:rsidR="00FF79E5" w:rsidRPr="00853C88">
        <w:rPr>
          <w:rFonts w:cs="David" w:hint="cs"/>
          <w:rtl/>
        </w:rPr>
        <w:t xml:space="preserve">% </w:t>
      </w:r>
      <w:r w:rsidR="00582358" w:rsidRPr="00853C88">
        <w:rPr>
          <w:rFonts w:cs="David" w:hint="cs"/>
          <w:rtl/>
        </w:rPr>
        <w:t>ערבי</w:t>
      </w:r>
      <w:r w:rsidR="003E1177" w:rsidRPr="00853C88">
        <w:rPr>
          <w:rFonts w:cs="David" w:hint="cs"/>
          <w:rtl/>
        </w:rPr>
        <w:t>ות</w:t>
      </w:r>
      <w:r w:rsidR="00582358" w:rsidRPr="00853C88">
        <w:rPr>
          <w:rFonts w:cs="David" w:hint="cs"/>
          <w:rtl/>
        </w:rPr>
        <w:t xml:space="preserve"> ו-</w:t>
      </w:r>
      <w:r w:rsidR="009B5D59" w:rsidRPr="00853C88">
        <w:rPr>
          <w:rFonts w:cs="David" w:hint="cs"/>
          <w:rtl/>
        </w:rPr>
        <w:t>49</w:t>
      </w:r>
      <w:r w:rsidR="00A7543A" w:rsidRPr="00853C88">
        <w:rPr>
          <w:rFonts w:cs="David" w:hint="cs"/>
          <w:rtl/>
        </w:rPr>
        <w:t xml:space="preserve"> (</w:t>
      </w:r>
      <w:r w:rsidR="009B5D59" w:rsidRPr="00853C88">
        <w:rPr>
          <w:rFonts w:cs="David" w:hint="cs"/>
          <w:rtl/>
        </w:rPr>
        <w:t>4</w:t>
      </w:r>
      <w:r w:rsidR="00DE1871" w:rsidRPr="00853C88">
        <w:rPr>
          <w:rFonts w:cs="David" w:hint="cs"/>
          <w:rtl/>
        </w:rPr>
        <w:t>.</w:t>
      </w:r>
      <w:r w:rsidR="009B5D59" w:rsidRPr="00853C88">
        <w:rPr>
          <w:rFonts w:cs="David" w:hint="cs"/>
          <w:rtl/>
        </w:rPr>
        <w:t>8</w:t>
      </w:r>
      <w:r w:rsidR="00A7543A" w:rsidRPr="00853C88">
        <w:rPr>
          <w:rFonts w:cs="David" w:hint="cs"/>
          <w:rtl/>
        </w:rPr>
        <w:t xml:space="preserve">%) </w:t>
      </w:r>
      <w:r w:rsidR="00582358" w:rsidRPr="00853C88">
        <w:rPr>
          <w:rFonts w:cs="David" w:hint="cs"/>
          <w:rtl/>
        </w:rPr>
        <w:t>"אחר</w:t>
      </w:r>
      <w:r w:rsidR="003E1177" w:rsidRPr="00853C88">
        <w:rPr>
          <w:rFonts w:cs="David" w:hint="cs"/>
          <w:rtl/>
        </w:rPr>
        <w:t>ות</w:t>
      </w:r>
      <w:r w:rsidR="00582358" w:rsidRPr="00853C88">
        <w:rPr>
          <w:rFonts w:cs="David" w:hint="cs"/>
          <w:rtl/>
        </w:rPr>
        <w:t>".</w:t>
      </w:r>
      <w:r w:rsidR="00FE3963" w:rsidRPr="00853C88">
        <w:rPr>
          <w:rFonts w:cs="David" w:hint="cs"/>
          <w:rtl/>
        </w:rPr>
        <w:t xml:space="preserve"> </w:t>
      </w:r>
    </w:p>
    <w:p w:rsidR="00D711AD" w:rsidRPr="00853C88" w:rsidRDefault="0063737C" w:rsidP="00D711AD">
      <w:pPr>
        <w:bidi/>
        <w:spacing w:line="360" w:lineRule="auto"/>
        <w:jc w:val="both"/>
        <w:rPr>
          <w:rFonts w:cs="David"/>
          <w:kern w:val="28"/>
          <w:rtl/>
        </w:rPr>
      </w:pPr>
      <w:r w:rsidRPr="00853C88">
        <w:rPr>
          <w:rFonts w:cs="David" w:hint="cs"/>
          <w:kern w:val="28"/>
          <w:rtl/>
        </w:rPr>
        <w:t xml:space="preserve">עיקר התמותה מסרטן השד </w:t>
      </w:r>
      <w:r w:rsidR="00D711AD" w:rsidRPr="00853C88">
        <w:rPr>
          <w:rFonts w:cs="David" w:hint="cs"/>
          <w:kern w:val="28"/>
          <w:rtl/>
        </w:rPr>
        <w:t xml:space="preserve">בשנת 2015 </w:t>
      </w:r>
      <w:r w:rsidR="00B96CDF" w:rsidRPr="00853C88">
        <w:rPr>
          <w:rFonts w:cs="David" w:hint="cs"/>
          <w:kern w:val="28"/>
          <w:rtl/>
        </w:rPr>
        <w:t>נצפ</w:t>
      </w:r>
      <w:r w:rsidR="00F926F1" w:rsidRPr="00853C88">
        <w:rPr>
          <w:rFonts w:cs="David" w:hint="cs"/>
          <w:kern w:val="28"/>
          <w:rtl/>
        </w:rPr>
        <w:t>תה</w:t>
      </w:r>
      <w:r w:rsidR="00B96CDF" w:rsidRPr="00853C88">
        <w:rPr>
          <w:rFonts w:cs="David" w:hint="cs"/>
          <w:kern w:val="28"/>
          <w:rtl/>
        </w:rPr>
        <w:t xml:space="preserve"> </w:t>
      </w:r>
      <w:r w:rsidRPr="00853C88">
        <w:rPr>
          <w:rFonts w:cs="David" w:hint="cs"/>
          <w:kern w:val="28"/>
          <w:rtl/>
        </w:rPr>
        <w:t>בגיל המבוגר</w:t>
      </w:r>
      <w:r w:rsidR="003A0DB0" w:rsidRPr="00853C88">
        <w:rPr>
          <w:rFonts w:cs="David" w:hint="cs"/>
          <w:kern w:val="28"/>
          <w:rtl/>
        </w:rPr>
        <w:t xml:space="preserve">: הגיל הממוצע של הנפטרות מהמחלה </w:t>
      </w:r>
      <w:r w:rsidR="003A0DB0" w:rsidRPr="00853C88">
        <w:rPr>
          <w:rFonts w:cs="David" w:hint="cs"/>
          <w:kern w:val="28"/>
          <w:rtl/>
        </w:rPr>
        <w:lastRenderedPageBreak/>
        <w:t xml:space="preserve">היה </w:t>
      </w:r>
      <w:r w:rsidR="00690258" w:rsidRPr="00853C88">
        <w:rPr>
          <w:rFonts w:cs="David" w:hint="cs"/>
          <w:kern w:val="28"/>
          <w:rtl/>
        </w:rPr>
        <w:t>70.</w:t>
      </w:r>
      <w:r w:rsidR="00D711AD" w:rsidRPr="00853C88">
        <w:rPr>
          <w:rFonts w:cs="David" w:hint="cs"/>
          <w:kern w:val="28"/>
          <w:rtl/>
        </w:rPr>
        <w:t>0</w:t>
      </w:r>
      <w:r w:rsidR="003A0DB0" w:rsidRPr="00853C88">
        <w:rPr>
          <w:rFonts w:cs="David" w:hint="cs"/>
          <w:kern w:val="28"/>
          <w:rtl/>
        </w:rPr>
        <w:t xml:space="preserve"> והגיל החציוני, 70.</w:t>
      </w:r>
      <w:r w:rsidR="00D711AD" w:rsidRPr="00853C88">
        <w:rPr>
          <w:rFonts w:cs="David" w:hint="cs"/>
          <w:kern w:val="28"/>
          <w:rtl/>
        </w:rPr>
        <w:t xml:space="preserve">7 (טווח: 28.6 </w:t>
      </w:r>
      <w:r w:rsidR="00D711AD" w:rsidRPr="00853C88">
        <w:rPr>
          <w:rFonts w:cs="David"/>
          <w:kern w:val="28"/>
          <w:rtl/>
        </w:rPr>
        <w:t>–</w:t>
      </w:r>
      <w:r w:rsidR="00D711AD" w:rsidRPr="00853C88">
        <w:rPr>
          <w:rFonts w:cs="David" w:hint="cs"/>
          <w:kern w:val="28"/>
          <w:rtl/>
        </w:rPr>
        <w:t xml:space="preserve"> 104.4)</w:t>
      </w:r>
      <w:r w:rsidR="003A0DB0" w:rsidRPr="00853C88">
        <w:rPr>
          <w:rFonts w:cs="David" w:hint="cs"/>
          <w:kern w:val="28"/>
          <w:rtl/>
        </w:rPr>
        <w:t xml:space="preserve">. </w:t>
      </w:r>
      <w:r w:rsidR="00120B5A" w:rsidRPr="00853C88">
        <w:rPr>
          <w:rFonts w:cs="David" w:hint="cs"/>
          <w:kern w:val="28"/>
          <w:rtl/>
        </w:rPr>
        <w:t>כ-1</w:t>
      </w:r>
      <w:r w:rsidR="00D711AD" w:rsidRPr="00853C88">
        <w:rPr>
          <w:rFonts w:cs="David" w:hint="cs"/>
          <w:kern w:val="28"/>
          <w:rtl/>
        </w:rPr>
        <w:t>2</w:t>
      </w:r>
      <w:r w:rsidR="00120B5A" w:rsidRPr="00853C88">
        <w:rPr>
          <w:rFonts w:cs="David" w:hint="cs"/>
          <w:kern w:val="28"/>
          <w:rtl/>
        </w:rPr>
        <w:t>.</w:t>
      </w:r>
      <w:r w:rsidR="00D711AD" w:rsidRPr="00853C88">
        <w:rPr>
          <w:rFonts w:cs="David" w:hint="cs"/>
          <w:kern w:val="28"/>
          <w:rtl/>
        </w:rPr>
        <w:t>5</w:t>
      </w:r>
      <w:r w:rsidR="00120B5A" w:rsidRPr="00853C88">
        <w:rPr>
          <w:rFonts w:cs="David" w:hint="cs"/>
          <w:kern w:val="28"/>
          <w:rtl/>
        </w:rPr>
        <w:t>% מכלל</w:t>
      </w:r>
      <w:r w:rsidR="00120B5A" w:rsidRPr="00D711AD">
        <w:rPr>
          <w:rFonts w:cs="David" w:hint="cs"/>
          <w:kern w:val="28"/>
          <w:sz w:val="22"/>
          <w:szCs w:val="22"/>
          <w:rtl/>
        </w:rPr>
        <w:t xml:space="preserve"> </w:t>
      </w:r>
      <w:r w:rsidR="00120B5A" w:rsidRPr="00853C88">
        <w:rPr>
          <w:rFonts w:cs="David" w:hint="cs"/>
          <w:kern w:val="28"/>
          <w:rtl/>
        </w:rPr>
        <w:t xml:space="preserve">הנפטרות </w:t>
      </w:r>
      <w:r w:rsidR="00C050A4" w:rsidRPr="00853C88">
        <w:rPr>
          <w:rFonts w:cs="David" w:hint="cs"/>
          <w:kern w:val="28"/>
          <w:rtl/>
        </w:rPr>
        <w:t>(סה"כ 1</w:t>
      </w:r>
      <w:r w:rsidR="00D711AD" w:rsidRPr="00853C88">
        <w:rPr>
          <w:rFonts w:cs="David" w:hint="cs"/>
          <w:kern w:val="28"/>
          <w:rtl/>
        </w:rPr>
        <w:t>28</w:t>
      </w:r>
      <w:r w:rsidR="00C050A4" w:rsidRPr="00853C88">
        <w:rPr>
          <w:rFonts w:cs="David" w:hint="cs"/>
          <w:kern w:val="28"/>
          <w:rtl/>
        </w:rPr>
        <w:t xml:space="preserve"> נשים) </w:t>
      </w:r>
      <w:r w:rsidR="00F926F1" w:rsidRPr="00853C88">
        <w:rPr>
          <w:rFonts w:cs="David" w:hint="cs"/>
          <w:kern w:val="28"/>
          <w:rtl/>
        </w:rPr>
        <w:t xml:space="preserve">היו </w:t>
      </w:r>
      <w:r w:rsidR="00120B5A" w:rsidRPr="00853C88">
        <w:rPr>
          <w:rFonts w:cs="David" w:hint="cs"/>
          <w:kern w:val="28"/>
          <w:rtl/>
        </w:rPr>
        <w:t xml:space="preserve">צעירות מגיל 50. </w:t>
      </w:r>
      <w:r w:rsidRPr="00853C88">
        <w:rPr>
          <w:rFonts w:cs="David" w:hint="cs"/>
          <w:kern w:val="28"/>
          <w:rtl/>
        </w:rPr>
        <w:t xml:space="preserve">בקרב יהודיות, </w:t>
      </w:r>
      <w:r w:rsidR="000475C1" w:rsidRPr="00853C88">
        <w:rPr>
          <w:rFonts w:cs="David" w:hint="cs"/>
          <w:kern w:val="28"/>
          <w:rtl/>
        </w:rPr>
        <w:t>10.6</w:t>
      </w:r>
      <w:r w:rsidRPr="00853C88">
        <w:rPr>
          <w:rFonts w:cs="David" w:hint="cs"/>
          <w:kern w:val="28"/>
          <w:rtl/>
        </w:rPr>
        <w:t>% מ</w:t>
      </w:r>
      <w:r w:rsidR="00C050A4" w:rsidRPr="00853C88">
        <w:rPr>
          <w:rFonts w:cs="David" w:hint="cs"/>
          <w:kern w:val="28"/>
          <w:rtl/>
        </w:rPr>
        <w:t xml:space="preserve">כלל </w:t>
      </w:r>
      <w:r w:rsidRPr="00853C88">
        <w:rPr>
          <w:rFonts w:cs="David" w:hint="cs"/>
          <w:kern w:val="28"/>
          <w:rtl/>
        </w:rPr>
        <w:t xml:space="preserve">הנפטרות היו צעירות מגיל 50 </w:t>
      </w:r>
      <w:r w:rsidR="00120B5A" w:rsidRPr="00853C88">
        <w:rPr>
          <w:rFonts w:cs="David" w:hint="cs"/>
          <w:kern w:val="28"/>
          <w:rtl/>
        </w:rPr>
        <w:t>בעת פטירתן</w:t>
      </w:r>
      <w:r w:rsidRPr="00853C88">
        <w:rPr>
          <w:rFonts w:cs="David" w:hint="cs"/>
          <w:kern w:val="28"/>
          <w:rtl/>
        </w:rPr>
        <w:t>. בקרב ערביות,</w:t>
      </w:r>
      <w:r w:rsidR="00D711AD" w:rsidRPr="00853C88">
        <w:rPr>
          <w:rFonts w:cs="David" w:hint="cs"/>
          <w:kern w:val="28"/>
          <w:rtl/>
        </w:rPr>
        <w:t xml:space="preserve"> שיעור זה היה </w:t>
      </w:r>
      <w:r w:rsidRPr="00853C88">
        <w:rPr>
          <w:rFonts w:cs="David" w:hint="cs"/>
          <w:kern w:val="28"/>
          <w:rtl/>
        </w:rPr>
        <w:t xml:space="preserve"> </w:t>
      </w:r>
      <w:r w:rsidR="00D711AD" w:rsidRPr="00853C88">
        <w:rPr>
          <w:rFonts w:cs="David" w:hint="cs"/>
          <w:kern w:val="28"/>
          <w:rtl/>
        </w:rPr>
        <w:t>26</w:t>
      </w:r>
      <w:r w:rsidR="0011053B" w:rsidRPr="00853C88">
        <w:rPr>
          <w:rFonts w:cs="David" w:hint="cs"/>
          <w:kern w:val="28"/>
          <w:rtl/>
        </w:rPr>
        <w:t>.</w:t>
      </w:r>
      <w:r w:rsidR="00D711AD" w:rsidRPr="00853C88">
        <w:rPr>
          <w:rFonts w:cs="David" w:hint="cs"/>
          <w:kern w:val="28"/>
          <w:rtl/>
        </w:rPr>
        <w:t>8</w:t>
      </w:r>
      <w:r w:rsidR="0011053B" w:rsidRPr="00853C88">
        <w:rPr>
          <w:rFonts w:cs="David" w:hint="cs"/>
          <w:kern w:val="28"/>
          <w:rtl/>
        </w:rPr>
        <w:t>%</w:t>
      </w:r>
      <w:r w:rsidR="00D711AD" w:rsidRPr="00853C88">
        <w:rPr>
          <w:rFonts w:cs="David" w:hint="cs"/>
          <w:kern w:val="28"/>
          <w:rtl/>
        </w:rPr>
        <w:t xml:space="preserve">, ובקרב "אחרות", 12.2%. </w:t>
      </w:r>
    </w:p>
    <w:p w:rsidR="00A9207B" w:rsidRPr="00853C88" w:rsidRDefault="00435620" w:rsidP="00D711AD">
      <w:pPr>
        <w:bidi/>
        <w:spacing w:line="360" w:lineRule="auto"/>
        <w:jc w:val="both"/>
        <w:rPr>
          <w:rFonts w:cs="David"/>
          <w:kern w:val="28"/>
          <w:rtl/>
        </w:rPr>
      </w:pPr>
      <w:r w:rsidRPr="00853C88">
        <w:rPr>
          <w:rFonts w:cs="David" w:hint="cs"/>
          <w:kern w:val="28"/>
          <w:rtl/>
        </w:rPr>
        <w:t>שיעור</w:t>
      </w:r>
      <w:r w:rsidR="00EA1982" w:rsidRPr="00853C88">
        <w:rPr>
          <w:rFonts w:cs="David" w:hint="cs"/>
          <w:kern w:val="28"/>
          <w:rtl/>
        </w:rPr>
        <w:t>י</w:t>
      </w:r>
      <w:r w:rsidRPr="00853C88">
        <w:rPr>
          <w:rFonts w:cs="David" w:hint="cs"/>
          <w:kern w:val="28"/>
          <w:rtl/>
        </w:rPr>
        <w:t xml:space="preserve"> התמותה הנמו</w:t>
      </w:r>
      <w:r w:rsidR="00EA1982" w:rsidRPr="00853C88">
        <w:rPr>
          <w:rFonts w:cs="David" w:hint="cs"/>
          <w:kern w:val="28"/>
          <w:rtl/>
        </w:rPr>
        <w:t>כים</w:t>
      </w:r>
      <w:r w:rsidRPr="00853C88">
        <w:rPr>
          <w:rFonts w:cs="David" w:hint="cs"/>
          <w:kern w:val="28"/>
          <w:rtl/>
        </w:rPr>
        <w:t xml:space="preserve"> ביותר מסרטן השד </w:t>
      </w:r>
      <w:r w:rsidR="00077981" w:rsidRPr="00853C88">
        <w:rPr>
          <w:rFonts w:cs="David" w:hint="cs"/>
          <w:kern w:val="28"/>
          <w:rtl/>
        </w:rPr>
        <w:t xml:space="preserve">(המתארים את הסיכון לתמותה מהמחלה) </w:t>
      </w:r>
      <w:r w:rsidRPr="00853C88">
        <w:rPr>
          <w:rFonts w:cs="David" w:hint="cs"/>
          <w:kern w:val="28"/>
          <w:rtl/>
        </w:rPr>
        <w:t>נצפ</w:t>
      </w:r>
      <w:r w:rsidR="00EA1982" w:rsidRPr="00853C88">
        <w:rPr>
          <w:rFonts w:cs="David" w:hint="cs"/>
          <w:kern w:val="28"/>
          <w:rtl/>
        </w:rPr>
        <w:t>ו</w:t>
      </w:r>
      <w:r w:rsidRPr="00853C88">
        <w:rPr>
          <w:rFonts w:cs="David" w:hint="cs"/>
          <w:kern w:val="28"/>
          <w:rtl/>
        </w:rPr>
        <w:t xml:space="preserve"> בנשים </w:t>
      </w:r>
      <w:r w:rsidR="00EA1982" w:rsidRPr="00853C88">
        <w:rPr>
          <w:rFonts w:cs="David" w:hint="cs"/>
          <w:kern w:val="28"/>
          <w:rtl/>
        </w:rPr>
        <w:t xml:space="preserve">צעירות מגיל 35. </w:t>
      </w:r>
      <w:r w:rsidRPr="00853C88">
        <w:rPr>
          <w:rFonts w:cs="David" w:hint="cs"/>
          <w:kern w:val="28"/>
          <w:rtl/>
        </w:rPr>
        <w:t xml:space="preserve">בגיל המבוגר השיעורים </w:t>
      </w:r>
      <w:r w:rsidR="0063737C" w:rsidRPr="00853C88">
        <w:rPr>
          <w:rFonts w:cs="David" w:hint="cs"/>
          <w:kern w:val="28"/>
          <w:rtl/>
        </w:rPr>
        <w:t>גבוהים עשרות מונים, והם בשיאם בקבוצת הגיל 75+</w:t>
      </w:r>
      <w:r w:rsidR="00D711AD" w:rsidRPr="00853C88">
        <w:rPr>
          <w:rFonts w:cs="David" w:hint="cs"/>
          <w:kern w:val="28"/>
          <w:rtl/>
        </w:rPr>
        <w:t xml:space="preserve"> </w:t>
      </w:r>
      <w:r w:rsidR="00077981" w:rsidRPr="00853C88">
        <w:rPr>
          <w:rFonts w:cs="David" w:hint="cs"/>
          <w:kern w:val="28"/>
          <w:rtl/>
        </w:rPr>
        <w:t xml:space="preserve">הן </w:t>
      </w:r>
      <w:r w:rsidR="0063737C" w:rsidRPr="00853C88">
        <w:rPr>
          <w:rFonts w:cs="David" w:hint="cs"/>
          <w:kern w:val="28"/>
          <w:rtl/>
        </w:rPr>
        <w:t>ביהודיות (1</w:t>
      </w:r>
      <w:r w:rsidR="00EA1982" w:rsidRPr="00853C88">
        <w:rPr>
          <w:rFonts w:cs="David" w:hint="cs"/>
          <w:kern w:val="28"/>
          <w:rtl/>
        </w:rPr>
        <w:t>9</w:t>
      </w:r>
      <w:r w:rsidR="00D711AD" w:rsidRPr="00853C88">
        <w:rPr>
          <w:rFonts w:cs="David" w:hint="cs"/>
          <w:kern w:val="28"/>
          <w:rtl/>
        </w:rPr>
        <w:t>0</w:t>
      </w:r>
      <w:r w:rsidR="0063737C" w:rsidRPr="00853C88">
        <w:rPr>
          <w:rFonts w:cs="David" w:hint="cs"/>
          <w:kern w:val="28"/>
          <w:rtl/>
        </w:rPr>
        <w:t>.</w:t>
      </w:r>
      <w:r w:rsidR="00D711AD" w:rsidRPr="00853C88">
        <w:rPr>
          <w:rFonts w:cs="David" w:hint="cs"/>
          <w:kern w:val="28"/>
          <w:rtl/>
        </w:rPr>
        <w:t>4</w:t>
      </w:r>
      <w:r w:rsidR="0063737C" w:rsidRPr="00853C88">
        <w:rPr>
          <w:rFonts w:cs="David" w:hint="cs"/>
          <w:kern w:val="28"/>
          <w:rtl/>
        </w:rPr>
        <w:t xml:space="preserve"> ל-100,000)</w:t>
      </w:r>
      <w:r w:rsidR="00D711AD" w:rsidRPr="00853C88">
        <w:rPr>
          <w:rFonts w:cs="David" w:hint="cs"/>
          <w:kern w:val="28"/>
          <w:rtl/>
        </w:rPr>
        <w:t xml:space="preserve">, </w:t>
      </w:r>
      <w:r w:rsidR="0063737C" w:rsidRPr="00853C88">
        <w:rPr>
          <w:rFonts w:cs="David" w:hint="cs"/>
          <w:kern w:val="28"/>
          <w:rtl/>
        </w:rPr>
        <w:t xml:space="preserve"> </w:t>
      </w:r>
      <w:r w:rsidR="00077981" w:rsidRPr="00853C88">
        <w:rPr>
          <w:rFonts w:cs="David" w:hint="cs"/>
          <w:kern w:val="28"/>
          <w:rtl/>
        </w:rPr>
        <w:t xml:space="preserve">הן </w:t>
      </w:r>
      <w:r w:rsidR="00EA1982" w:rsidRPr="00853C88">
        <w:rPr>
          <w:rFonts w:cs="David" w:hint="cs"/>
          <w:kern w:val="28"/>
          <w:rtl/>
        </w:rPr>
        <w:t xml:space="preserve">בערביות </w:t>
      </w:r>
      <w:r w:rsidR="0063737C" w:rsidRPr="00853C88">
        <w:rPr>
          <w:rFonts w:cs="David" w:hint="cs"/>
          <w:kern w:val="28"/>
          <w:rtl/>
        </w:rPr>
        <w:t>(</w:t>
      </w:r>
      <w:r w:rsidR="00EA1982" w:rsidRPr="00853C88">
        <w:rPr>
          <w:rFonts w:cs="David" w:hint="cs"/>
          <w:kern w:val="28"/>
          <w:rtl/>
        </w:rPr>
        <w:t>1</w:t>
      </w:r>
      <w:r w:rsidR="00D711AD" w:rsidRPr="00853C88">
        <w:rPr>
          <w:rFonts w:cs="David" w:hint="cs"/>
          <w:kern w:val="28"/>
          <w:rtl/>
        </w:rPr>
        <w:t>50</w:t>
      </w:r>
      <w:r w:rsidR="00EA1982" w:rsidRPr="00853C88">
        <w:rPr>
          <w:rFonts w:cs="David" w:hint="cs"/>
          <w:kern w:val="28"/>
          <w:rtl/>
        </w:rPr>
        <w:t>.</w:t>
      </w:r>
      <w:r w:rsidR="00D711AD" w:rsidRPr="00853C88">
        <w:rPr>
          <w:rFonts w:cs="David" w:hint="cs"/>
          <w:kern w:val="28"/>
          <w:rtl/>
        </w:rPr>
        <w:t>3</w:t>
      </w:r>
      <w:r w:rsidR="0063737C" w:rsidRPr="00853C88">
        <w:rPr>
          <w:rFonts w:cs="David" w:hint="cs"/>
          <w:kern w:val="28"/>
          <w:rtl/>
        </w:rPr>
        <w:t xml:space="preserve"> ל-100,000)</w:t>
      </w:r>
      <w:r w:rsidR="009B5D59" w:rsidRPr="00853C88">
        <w:rPr>
          <w:rFonts w:cs="David" w:hint="cs"/>
          <w:kern w:val="28"/>
          <w:rtl/>
        </w:rPr>
        <w:t xml:space="preserve"> </w:t>
      </w:r>
      <w:r w:rsidR="00D711AD" w:rsidRPr="00853C88">
        <w:rPr>
          <w:rFonts w:cs="David" w:hint="cs"/>
          <w:kern w:val="28"/>
          <w:rtl/>
        </w:rPr>
        <w:t xml:space="preserve">והן ב"אחרות" (180.8 ל-100,000) </w:t>
      </w:r>
      <w:r w:rsidR="009B5D59" w:rsidRPr="00853C88">
        <w:rPr>
          <w:rFonts w:cs="David" w:hint="cs"/>
          <w:kern w:val="28"/>
          <w:rtl/>
        </w:rPr>
        <w:t xml:space="preserve">(תרשים </w:t>
      </w:r>
      <w:r w:rsidR="00D711AD" w:rsidRPr="00853C88">
        <w:rPr>
          <w:rFonts w:cs="David" w:hint="cs"/>
          <w:kern w:val="28"/>
          <w:rtl/>
        </w:rPr>
        <w:t>5</w:t>
      </w:r>
      <w:r w:rsidR="009B5D59" w:rsidRPr="00853C88">
        <w:rPr>
          <w:rFonts w:cs="David" w:hint="cs"/>
          <w:kern w:val="28"/>
          <w:rtl/>
        </w:rPr>
        <w:t>)</w:t>
      </w:r>
      <w:r w:rsidR="0063737C" w:rsidRPr="00853C88">
        <w:rPr>
          <w:rFonts w:cs="David" w:hint="cs"/>
          <w:kern w:val="28"/>
          <w:rtl/>
        </w:rPr>
        <w:t>.</w:t>
      </w:r>
    </w:p>
    <w:p w:rsidR="009B5D59" w:rsidRPr="00920C57" w:rsidRDefault="009B5D59" w:rsidP="00D711AD">
      <w:pPr>
        <w:bidi/>
        <w:spacing w:line="360" w:lineRule="auto"/>
        <w:jc w:val="both"/>
        <w:rPr>
          <w:rFonts w:cs="David"/>
          <w:b/>
          <w:bCs/>
          <w:sz w:val="18"/>
          <w:szCs w:val="18"/>
          <w:rtl/>
        </w:rPr>
      </w:pPr>
      <w:r w:rsidRPr="009B5D59">
        <w:rPr>
          <w:rFonts w:cs="David" w:hint="cs"/>
          <w:sz w:val="18"/>
          <w:szCs w:val="18"/>
          <w:rtl/>
        </w:rPr>
        <w:t xml:space="preserve">תרשים </w:t>
      </w:r>
      <w:r w:rsidR="00D711AD">
        <w:rPr>
          <w:rFonts w:cs="David" w:hint="cs"/>
          <w:sz w:val="18"/>
          <w:szCs w:val="18"/>
          <w:rtl/>
        </w:rPr>
        <w:t>5</w:t>
      </w:r>
      <w:r w:rsidRPr="009B5D59">
        <w:rPr>
          <w:rFonts w:cs="David" w:hint="cs"/>
          <w:sz w:val="18"/>
          <w:szCs w:val="18"/>
          <w:rtl/>
        </w:rPr>
        <w:t xml:space="preserve">: </w:t>
      </w:r>
      <w:r w:rsidRPr="009B5D59">
        <w:rPr>
          <w:rFonts w:cs="David" w:hint="cs"/>
          <w:b/>
          <w:bCs/>
          <w:sz w:val="18"/>
          <w:szCs w:val="18"/>
          <w:rtl/>
        </w:rPr>
        <w:t>שיעורי תמותה מסרטן השד בנשים לפי קבוצת אוכלוסייה וקבוצת גיל, ישראל, 2015</w:t>
      </w:r>
    </w:p>
    <w:p w:rsidR="009B5D59" w:rsidRDefault="009B5D59" w:rsidP="009B5D59">
      <w:pPr>
        <w:bidi/>
        <w:spacing w:line="360" w:lineRule="auto"/>
        <w:jc w:val="both"/>
        <w:rPr>
          <w:rFonts w:cs="David"/>
          <w:kern w:val="28"/>
          <w:sz w:val="22"/>
          <w:szCs w:val="22"/>
          <w:rtl/>
        </w:rPr>
      </w:pPr>
      <w:r>
        <w:rPr>
          <w:noProof/>
          <w:lang w:eastAsia="en-US"/>
        </w:rPr>
        <w:drawing>
          <wp:inline distT="0" distB="0" distL="0" distR="0" wp14:anchorId="735983EB" wp14:editId="65A0FDAE">
            <wp:extent cx="5486400" cy="3697605"/>
            <wp:effectExtent l="0" t="0" r="19050" b="17145"/>
            <wp:docPr id="3" name="תרשים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53C88" w:rsidRDefault="00853C88" w:rsidP="003D44FD">
      <w:pPr>
        <w:bidi/>
        <w:spacing w:line="360" w:lineRule="auto"/>
        <w:jc w:val="both"/>
        <w:rPr>
          <w:rFonts w:cs="David"/>
          <w:sz w:val="22"/>
          <w:szCs w:val="22"/>
          <w:rtl/>
        </w:rPr>
      </w:pPr>
    </w:p>
    <w:p w:rsidR="00D711AD" w:rsidRPr="00853C88" w:rsidRDefault="00D711AD" w:rsidP="00853C88">
      <w:pPr>
        <w:bidi/>
        <w:spacing w:line="360" w:lineRule="auto"/>
        <w:jc w:val="both"/>
        <w:rPr>
          <w:rFonts w:cs="David"/>
          <w:rtl/>
        </w:rPr>
      </w:pPr>
      <w:r w:rsidRPr="00853C88">
        <w:rPr>
          <w:rFonts w:cs="David" w:hint="cs"/>
          <w:rtl/>
        </w:rPr>
        <w:t>בשנת 2015 היו בישראל שיעורי התמותה (מתוקננים לגיל ל-100,000) מסרטן השד 1</w:t>
      </w:r>
      <w:r w:rsidR="003D44FD" w:rsidRPr="00853C88">
        <w:rPr>
          <w:rFonts w:cs="David" w:hint="cs"/>
          <w:rtl/>
        </w:rPr>
        <w:t>5</w:t>
      </w:r>
      <w:r w:rsidRPr="00853C88">
        <w:rPr>
          <w:rFonts w:cs="David" w:hint="cs"/>
          <w:rtl/>
        </w:rPr>
        <w:t>.</w:t>
      </w:r>
      <w:r w:rsidR="003D44FD" w:rsidRPr="00853C88">
        <w:rPr>
          <w:rFonts w:cs="David" w:hint="cs"/>
          <w:rtl/>
        </w:rPr>
        <w:t>7</w:t>
      </w:r>
      <w:r w:rsidRPr="00853C88">
        <w:rPr>
          <w:rFonts w:cs="David" w:hint="cs"/>
          <w:rtl/>
        </w:rPr>
        <w:t xml:space="preserve"> ביהודיות, 1</w:t>
      </w:r>
      <w:r w:rsidR="003D44FD" w:rsidRPr="00853C88">
        <w:rPr>
          <w:rFonts w:cs="David" w:hint="cs"/>
          <w:rtl/>
        </w:rPr>
        <w:t>6</w:t>
      </w:r>
      <w:r w:rsidRPr="00853C88">
        <w:rPr>
          <w:rFonts w:cs="David" w:hint="cs"/>
          <w:rtl/>
        </w:rPr>
        <w:t>.</w:t>
      </w:r>
      <w:r w:rsidR="003D44FD" w:rsidRPr="00853C88">
        <w:rPr>
          <w:rFonts w:cs="David" w:hint="cs"/>
          <w:rtl/>
        </w:rPr>
        <w:t>3</w:t>
      </w:r>
      <w:r w:rsidRPr="00853C88">
        <w:rPr>
          <w:rFonts w:cs="David" w:hint="cs"/>
          <w:rtl/>
        </w:rPr>
        <w:t xml:space="preserve"> בערביות ו-1</w:t>
      </w:r>
      <w:r w:rsidR="003D44FD" w:rsidRPr="00853C88">
        <w:rPr>
          <w:rFonts w:cs="David" w:hint="cs"/>
          <w:rtl/>
        </w:rPr>
        <w:t>5</w:t>
      </w:r>
      <w:r w:rsidRPr="00853C88">
        <w:rPr>
          <w:rFonts w:cs="David" w:hint="cs"/>
          <w:rtl/>
        </w:rPr>
        <w:t>.</w:t>
      </w:r>
      <w:r w:rsidR="003D44FD" w:rsidRPr="00853C88">
        <w:rPr>
          <w:rFonts w:cs="David" w:hint="cs"/>
          <w:rtl/>
        </w:rPr>
        <w:t>1</w:t>
      </w:r>
      <w:r w:rsidRPr="00853C88">
        <w:rPr>
          <w:rFonts w:cs="David" w:hint="cs"/>
          <w:rtl/>
        </w:rPr>
        <w:t xml:space="preserve"> ב"אחרות".  </w:t>
      </w:r>
    </w:p>
    <w:p w:rsidR="0030430E" w:rsidRDefault="00D711AD" w:rsidP="00960E68">
      <w:pPr>
        <w:bidi/>
        <w:spacing w:line="360" w:lineRule="auto"/>
        <w:jc w:val="both"/>
        <w:rPr>
          <w:rFonts w:cs="David"/>
          <w:rtl/>
        </w:rPr>
      </w:pPr>
      <w:r w:rsidRPr="00853C88">
        <w:rPr>
          <w:rFonts w:cs="David" w:hint="cs"/>
          <w:rtl/>
        </w:rPr>
        <w:t xml:space="preserve">המגמה העיתית של תמותה מסרטן השד בנשים ישראליות במהלך 36 השנים 1980-2015 נבחנה באמצעות תכנת </w:t>
      </w:r>
      <w:r w:rsidRPr="00853C88">
        <w:rPr>
          <w:rFonts w:cs="David"/>
        </w:rPr>
        <w:t>Jointpoint</w:t>
      </w:r>
      <w:r w:rsidRPr="00853C88">
        <w:rPr>
          <w:rFonts w:cs="David" w:hint="cs"/>
          <w:rtl/>
        </w:rPr>
        <w:t xml:space="preserve">. בנשים יהודיות נצפתה מגמת עלייה קלה אך מובהקת סטטיסטית בשנים 1980-1995 </w:t>
      </w:r>
      <w:r w:rsidRPr="00853C88">
        <w:rPr>
          <w:rFonts w:cs="David"/>
        </w:rPr>
        <w:t>(APC=+0.</w:t>
      </w:r>
      <w:r w:rsidR="00CE63CF" w:rsidRPr="00853C88">
        <w:rPr>
          <w:rFonts w:cs="David"/>
        </w:rPr>
        <w:t>6</w:t>
      </w:r>
      <w:r w:rsidRPr="00853C88">
        <w:rPr>
          <w:rFonts w:cs="David"/>
        </w:rPr>
        <w:t>%)</w:t>
      </w:r>
      <w:r w:rsidRPr="00853C88">
        <w:rPr>
          <w:rFonts w:cs="David" w:hint="cs"/>
          <w:rtl/>
        </w:rPr>
        <w:t>. בשנים 1995-201</w:t>
      </w:r>
      <w:r w:rsidR="00AF79B1" w:rsidRPr="00853C88">
        <w:rPr>
          <w:rFonts w:cs="David" w:hint="cs"/>
          <w:rtl/>
        </w:rPr>
        <w:t>5</w:t>
      </w:r>
      <w:r w:rsidRPr="00853C88">
        <w:rPr>
          <w:rFonts w:cs="David" w:hint="cs"/>
          <w:rtl/>
        </w:rPr>
        <w:t xml:space="preserve"> לעומת זאת נצפתה </w:t>
      </w:r>
      <w:r w:rsidRPr="00853C88">
        <w:rPr>
          <w:rFonts w:cs="David" w:hint="cs"/>
          <w:b/>
          <w:bCs/>
          <w:rtl/>
        </w:rPr>
        <w:t>מגמת ירידה מובהקת</w:t>
      </w:r>
      <w:r w:rsidR="00C62666">
        <w:rPr>
          <w:rFonts w:cs="David" w:hint="cs"/>
          <w:rtl/>
        </w:rPr>
        <w:t xml:space="preserve"> בשיעור של כ-2% בשנה</w:t>
      </w:r>
      <w:r w:rsidRPr="00853C88">
        <w:rPr>
          <w:rFonts w:cs="David" w:hint="cs"/>
          <w:rtl/>
        </w:rPr>
        <w:t xml:space="preserve"> </w:t>
      </w:r>
      <w:r w:rsidRPr="00853C88">
        <w:rPr>
          <w:rFonts w:cs="David"/>
        </w:rPr>
        <w:t>(APC=-2.</w:t>
      </w:r>
      <w:r w:rsidR="00AF79B1" w:rsidRPr="00853C88">
        <w:rPr>
          <w:rFonts w:cs="David"/>
        </w:rPr>
        <w:t>2</w:t>
      </w:r>
      <w:r w:rsidRPr="00853C88">
        <w:rPr>
          <w:rFonts w:cs="David"/>
        </w:rPr>
        <w:t>%)</w:t>
      </w:r>
      <w:r w:rsidR="0030430E">
        <w:rPr>
          <w:rFonts w:cs="David" w:hint="cs"/>
          <w:rtl/>
        </w:rPr>
        <w:t xml:space="preserve">. </w:t>
      </w:r>
      <w:r w:rsidR="00C62666">
        <w:rPr>
          <w:rFonts w:cs="David" w:hint="cs"/>
          <w:rtl/>
        </w:rPr>
        <w:t xml:space="preserve"> </w:t>
      </w:r>
    </w:p>
    <w:p w:rsidR="00D711AD" w:rsidRPr="00853C88" w:rsidRDefault="00D711AD" w:rsidP="0030430E">
      <w:pPr>
        <w:bidi/>
        <w:spacing w:line="360" w:lineRule="auto"/>
        <w:jc w:val="both"/>
        <w:rPr>
          <w:rFonts w:cs="David"/>
          <w:rtl/>
        </w:rPr>
      </w:pPr>
      <w:r w:rsidRPr="00853C88">
        <w:rPr>
          <w:rFonts w:cs="David" w:hint="cs"/>
          <w:rtl/>
        </w:rPr>
        <w:t xml:space="preserve">בנשים ערביות נצפתה </w:t>
      </w:r>
      <w:r w:rsidRPr="00853C88">
        <w:rPr>
          <w:rFonts w:cs="David" w:hint="cs"/>
          <w:b/>
          <w:bCs/>
          <w:rtl/>
        </w:rPr>
        <w:t>מגמת עלייה מובהקת</w:t>
      </w:r>
      <w:r w:rsidRPr="00853C88">
        <w:rPr>
          <w:rFonts w:cs="David" w:hint="cs"/>
          <w:rtl/>
        </w:rPr>
        <w:t xml:space="preserve"> סטטיסטית </w:t>
      </w:r>
      <w:r w:rsidR="00AF79B1" w:rsidRPr="00853C88">
        <w:rPr>
          <w:rFonts w:cs="David" w:hint="cs"/>
          <w:rtl/>
        </w:rPr>
        <w:t>לאורך כל התקופה (1980-2015), בשיעור של 1.</w:t>
      </w:r>
      <w:r w:rsidR="00CE63CF" w:rsidRPr="00853C88">
        <w:rPr>
          <w:rFonts w:cs="David" w:hint="cs"/>
          <w:rtl/>
        </w:rPr>
        <w:t>1</w:t>
      </w:r>
      <w:r w:rsidR="00AF79B1" w:rsidRPr="00853C88">
        <w:rPr>
          <w:rFonts w:cs="David" w:hint="cs"/>
          <w:rtl/>
        </w:rPr>
        <w:t xml:space="preserve">% בשנה </w:t>
      </w:r>
      <w:r w:rsidRPr="00853C88">
        <w:rPr>
          <w:rFonts w:cs="David"/>
        </w:rPr>
        <w:t>(APC=+</w:t>
      </w:r>
      <w:r w:rsidR="00AF79B1" w:rsidRPr="00853C88">
        <w:rPr>
          <w:rFonts w:cs="David"/>
        </w:rPr>
        <w:t>1</w:t>
      </w:r>
      <w:r w:rsidRPr="00853C88">
        <w:rPr>
          <w:rFonts w:cs="David"/>
        </w:rPr>
        <w:t>.</w:t>
      </w:r>
      <w:r w:rsidR="00AF79B1" w:rsidRPr="00853C88">
        <w:rPr>
          <w:rFonts w:cs="David"/>
        </w:rPr>
        <w:t>05</w:t>
      </w:r>
      <w:r w:rsidRPr="00853C88">
        <w:rPr>
          <w:rFonts w:cs="David"/>
        </w:rPr>
        <w:t>%)</w:t>
      </w:r>
      <w:r w:rsidR="00AF79B1" w:rsidRPr="00853C88">
        <w:rPr>
          <w:rFonts w:cs="David" w:hint="cs"/>
          <w:rtl/>
        </w:rPr>
        <w:t xml:space="preserve"> </w:t>
      </w:r>
      <w:r w:rsidRPr="00853C88">
        <w:rPr>
          <w:rFonts w:cs="David" w:hint="cs"/>
          <w:rtl/>
        </w:rPr>
        <w:t xml:space="preserve">(תרשים 6). </w:t>
      </w:r>
    </w:p>
    <w:p w:rsidR="00AF79B1" w:rsidRDefault="00AF79B1">
      <w:pPr>
        <w:widowControl/>
        <w:suppressAutoHyphens w:val="0"/>
        <w:rPr>
          <w:rFonts w:cs="David"/>
          <w:sz w:val="18"/>
          <w:szCs w:val="18"/>
        </w:rPr>
      </w:pPr>
      <w:r>
        <w:rPr>
          <w:rFonts w:cs="David"/>
          <w:sz w:val="18"/>
          <w:szCs w:val="18"/>
          <w:rtl/>
        </w:rPr>
        <w:br w:type="page"/>
      </w:r>
    </w:p>
    <w:p w:rsidR="00D711AD" w:rsidRPr="00664398" w:rsidRDefault="00D711AD" w:rsidP="00D711AD">
      <w:pPr>
        <w:bidi/>
        <w:spacing w:line="360" w:lineRule="auto"/>
        <w:jc w:val="both"/>
        <w:rPr>
          <w:rFonts w:cs="David"/>
          <w:b/>
          <w:bCs/>
          <w:sz w:val="18"/>
          <w:szCs w:val="18"/>
          <w:rtl/>
        </w:rPr>
      </w:pPr>
      <w:r w:rsidRPr="00D711AD">
        <w:rPr>
          <w:rFonts w:cs="David" w:hint="cs"/>
          <w:sz w:val="18"/>
          <w:szCs w:val="18"/>
          <w:rtl/>
        </w:rPr>
        <w:lastRenderedPageBreak/>
        <w:t xml:space="preserve">תרשים 6: </w:t>
      </w:r>
      <w:r w:rsidRPr="00D711AD">
        <w:rPr>
          <w:rFonts w:cs="David" w:hint="cs"/>
          <w:b/>
          <w:bCs/>
          <w:sz w:val="18"/>
          <w:szCs w:val="18"/>
          <w:rtl/>
        </w:rPr>
        <w:t xml:space="preserve">מגמות בתמותה מסרטן חודרני של השד בנשים בישראל, 1980-2015 </w:t>
      </w:r>
      <w:r w:rsidRPr="00853C88">
        <w:rPr>
          <w:rFonts w:cs="David"/>
          <w:color w:val="4F81BD" w:themeColor="accent1"/>
          <w:sz w:val="18"/>
          <w:szCs w:val="18"/>
        </w:rPr>
        <w:t>(Jointpoint)</w:t>
      </w:r>
    </w:p>
    <w:p w:rsidR="00D711AD" w:rsidRPr="00A526EA" w:rsidRDefault="00CE63CF" w:rsidP="00D711AD">
      <w:pPr>
        <w:bidi/>
        <w:spacing w:line="360" w:lineRule="auto"/>
        <w:jc w:val="both"/>
        <w:rPr>
          <w:rFonts w:cs="David"/>
          <w:highlight w:val="yellow"/>
          <w:rtl/>
        </w:rPr>
      </w:pPr>
      <w:r>
        <w:rPr>
          <w:noProof/>
          <w:lang w:eastAsia="en-US"/>
        </w:rPr>
        <w:drawing>
          <wp:inline distT="0" distB="0" distL="0" distR="0" wp14:anchorId="4752BE05" wp14:editId="4C50AD24">
            <wp:extent cx="5516880" cy="3604895"/>
            <wp:effectExtent l="0" t="0" r="26670" b="14605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711AD" w:rsidRDefault="00D711AD" w:rsidP="00D711AD">
      <w:pPr>
        <w:bidi/>
        <w:spacing w:line="360" w:lineRule="auto"/>
        <w:jc w:val="both"/>
        <w:rPr>
          <w:rFonts w:cs="David"/>
          <w:b/>
          <w:bCs/>
          <w:color w:val="0000FF"/>
          <w:kern w:val="28"/>
          <w:sz w:val="28"/>
          <w:szCs w:val="28"/>
          <w:rtl/>
        </w:rPr>
      </w:pPr>
    </w:p>
    <w:p w:rsidR="003D2A4F" w:rsidRDefault="001B19BD" w:rsidP="003D2A4F">
      <w:pPr>
        <w:bidi/>
        <w:spacing w:line="360" w:lineRule="auto"/>
        <w:jc w:val="both"/>
        <w:rPr>
          <w:rFonts w:cs="David"/>
          <w:b/>
          <w:bCs/>
          <w:color w:val="0000FF"/>
          <w:kern w:val="28"/>
          <w:sz w:val="28"/>
          <w:szCs w:val="28"/>
          <w:rtl/>
        </w:rPr>
      </w:pPr>
      <w:r w:rsidRPr="00784594">
        <w:rPr>
          <w:rFonts w:cs="David" w:hint="cs"/>
          <w:b/>
          <w:bCs/>
          <w:color w:val="0000FF"/>
          <w:kern w:val="28"/>
          <w:sz w:val="28"/>
          <w:szCs w:val="28"/>
        </w:rPr>
        <w:sym w:font="Wingdings 3" w:char="F074"/>
      </w:r>
      <w:r w:rsidRPr="00784594">
        <w:rPr>
          <w:rFonts w:cs="David" w:hint="cs"/>
          <w:b/>
          <w:bCs/>
          <w:color w:val="0000FF"/>
          <w:kern w:val="28"/>
          <w:sz w:val="28"/>
          <w:szCs w:val="28"/>
          <w:rtl/>
        </w:rPr>
        <w:t xml:space="preserve"> </w:t>
      </w:r>
      <w:r w:rsidRPr="00CE63CF">
        <w:rPr>
          <w:rFonts w:cs="David" w:hint="cs"/>
          <w:b/>
          <w:bCs/>
          <w:color w:val="0000FF"/>
          <w:kern w:val="28"/>
          <w:sz w:val="28"/>
          <w:szCs w:val="28"/>
          <w:rtl/>
        </w:rPr>
        <w:t>השוואה בינלאומית</w:t>
      </w:r>
    </w:p>
    <w:p w:rsidR="00F11410" w:rsidRPr="008D349F" w:rsidRDefault="008F48AF" w:rsidP="009B5D59">
      <w:pPr>
        <w:bidi/>
        <w:spacing w:line="360" w:lineRule="auto"/>
        <w:jc w:val="both"/>
        <w:rPr>
          <w:rFonts w:cs="David"/>
          <w:rtl/>
        </w:rPr>
      </w:pPr>
      <w:r w:rsidRPr="008D349F">
        <w:rPr>
          <w:rFonts w:cs="David" w:hint="cs"/>
          <w:rtl/>
        </w:rPr>
        <w:t>על פי נתוני ה-</w:t>
      </w:r>
      <w:r w:rsidRPr="008D349F">
        <w:rPr>
          <w:rFonts w:cs="David"/>
        </w:rPr>
        <w:t>OECD</w:t>
      </w:r>
      <w:r w:rsidRPr="008D349F">
        <w:rPr>
          <w:rFonts w:cs="David" w:hint="cs"/>
          <w:rtl/>
        </w:rPr>
        <w:t xml:space="preserve"> לשנת </w:t>
      </w:r>
      <w:r w:rsidR="00B00D6F" w:rsidRPr="008D349F">
        <w:rPr>
          <w:rStyle w:val="a5"/>
          <w:rFonts w:cs="David"/>
          <w:rtl/>
        </w:rPr>
        <w:footnoteReference w:id="5"/>
      </w:r>
      <w:r w:rsidR="00B00D6F" w:rsidRPr="008D349F">
        <w:rPr>
          <w:rFonts w:cs="David" w:hint="cs"/>
          <w:rtl/>
        </w:rPr>
        <w:t>2013</w:t>
      </w:r>
      <w:r w:rsidRPr="008D349F">
        <w:rPr>
          <w:rFonts w:cs="David" w:hint="cs"/>
          <w:rtl/>
        </w:rPr>
        <w:t xml:space="preserve">, </w:t>
      </w:r>
      <w:r w:rsidR="00F11410" w:rsidRPr="008D349F">
        <w:rPr>
          <w:rFonts w:cs="David" w:hint="cs"/>
          <w:rtl/>
        </w:rPr>
        <w:t>שיעור ההיארעות של סרטן השד בנשים בישראל בשנת 2012 היה מעט גבוה מממוצע 34 מדינות</w:t>
      </w:r>
      <w:r w:rsidR="00A10FFB" w:rsidRPr="008D349F">
        <w:rPr>
          <w:rFonts w:cs="David" w:hint="cs"/>
          <w:rtl/>
        </w:rPr>
        <w:t xml:space="preserve"> ב-</w:t>
      </w:r>
      <w:r w:rsidR="00A10FFB" w:rsidRPr="008D349F">
        <w:rPr>
          <w:rFonts w:cs="David"/>
        </w:rPr>
        <w:t>O</w:t>
      </w:r>
      <w:r w:rsidR="00F11410" w:rsidRPr="008D349F">
        <w:rPr>
          <w:rFonts w:cs="David"/>
        </w:rPr>
        <w:t>ECD</w:t>
      </w:r>
      <w:r w:rsidR="00F11410" w:rsidRPr="008D349F">
        <w:rPr>
          <w:rFonts w:cs="David" w:hint="cs"/>
          <w:rtl/>
        </w:rPr>
        <w:t xml:space="preserve">; על פי נתונים אלה נמצאת ישראל במקום ה-16 (תרשים </w:t>
      </w:r>
      <w:r w:rsidR="009B5D59" w:rsidRPr="008D349F">
        <w:rPr>
          <w:rFonts w:cs="David"/>
        </w:rPr>
        <w:t>7</w:t>
      </w:r>
      <w:r w:rsidR="00F11410" w:rsidRPr="008D349F">
        <w:rPr>
          <w:rFonts w:cs="David" w:hint="cs"/>
          <w:rtl/>
        </w:rPr>
        <w:t>).</w:t>
      </w:r>
    </w:p>
    <w:p w:rsidR="00F11410" w:rsidRPr="008D349F" w:rsidRDefault="00F11410" w:rsidP="00960E68">
      <w:pPr>
        <w:bidi/>
        <w:spacing w:line="360" w:lineRule="auto"/>
        <w:jc w:val="both"/>
        <w:rPr>
          <w:rFonts w:cs="David"/>
          <w:rtl/>
        </w:rPr>
      </w:pPr>
      <w:r w:rsidRPr="008D349F">
        <w:rPr>
          <w:rFonts w:cs="David" w:hint="cs"/>
          <w:rtl/>
        </w:rPr>
        <w:t>על פי נתוני ה-</w:t>
      </w:r>
      <w:r w:rsidR="00843254" w:rsidRPr="008D349F">
        <w:rPr>
          <w:rStyle w:val="a5"/>
          <w:rFonts w:cs="David"/>
        </w:rPr>
        <w:footnoteReference w:id="6"/>
      </w:r>
      <w:r w:rsidRPr="008D349F">
        <w:rPr>
          <w:rFonts w:cs="David"/>
        </w:rPr>
        <w:t>OECD</w:t>
      </w:r>
      <w:r w:rsidRPr="008D349F">
        <w:rPr>
          <w:rFonts w:cs="David" w:hint="cs"/>
          <w:rtl/>
        </w:rPr>
        <w:t>, סרטן השד אחראי ל-15% מכלל התמותה מסרטן בקרב נשים. בישראל בשנת 201</w:t>
      </w:r>
      <w:r w:rsidR="00843254" w:rsidRPr="008D349F">
        <w:rPr>
          <w:rFonts w:cs="David" w:hint="cs"/>
          <w:rtl/>
        </w:rPr>
        <w:t>5</w:t>
      </w:r>
      <w:r w:rsidRPr="008D349F">
        <w:rPr>
          <w:rFonts w:cs="David" w:hint="cs"/>
          <w:rtl/>
        </w:rPr>
        <w:t xml:space="preserve"> שיעור התמותה מסרטן השד היה מעל השיעור הממוצע</w:t>
      </w:r>
      <w:r w:rsidR="00843254" w:rsidRPr="008D349F">
        <w:rPr>
          <w:rFonts w:cs="David" w:hint="cs"/>
          <w:rtl/>
        </w:rPr>
        <w:t xml:space="preserve"> (24.9 ל-100,000)</w:t>
      </w:r>
      <w:r w:rsidRPr="008D349F">
        <w:rPr>
          <w:rFonts w:cs="David" w:hint="cs"/>
          <w:rtl/>
        </w:rPr>
        <w:t xml:space="preserve"> ב-41 מדינות </w:t>
      </w:r>
      <w:r w:rsidRPr="008D349F">
        <w:rPr>
          <w:rFonts w:cs="David"/>
        </w:rPr>
        <w:t>OECD</w:t>
      </w:r>
      <w:r w:rsidRPr="008D349F">
        <w:rPr>
          <w:rFonts w:cs="David" w:hint="cs"/>
          <w:rtl/>
        </w:rPr>
        <w:t xml:space="preserve">, וישראל נמצאה במקום השמיני אחרי </w:t>
      </w:r>
      <w:r w:rsidR="00843254" w:rsidRPr="008D349F">
        <w:rPr>
          <w:rFonts w:cs="David" w:hint="cs"/>
          <w:rtl/>
        </w:rPr>
        <w:t xml:space="preserve">אירלנד, איסלנד, </w:t>
      </w:r>
      <w:r w:rsidRPr="008D349F">
        <w:rPr>
          <w:rFonts w:cs="David" w:hint="cs"/>
          <w:rtl/>
        </w:rPr>
        <w:t xml:space="preserve">הונגריה, </w:t>
      </w:r>
      <w:r w:rsidR="00843254" w:rsidRPr="008D349F">
        <w:rPr>
          <w:rFonts w:cs="David" w:hint="cs"/>
          <w:rtl/>
        </w:rPr>
        <w:t xml:space="preserve">דנמרק, הולנד, </w:t>
      </w:r>
      <w:r w:rsidRPr="008D349F">
        <w:rPr>
          <w:rFonts w:cs="David" w:hint="cs"/>
          <w:rtl/>
        </w:rPr>
        <w:t>בלגיה</w:t>
      </w:r>
      <w:r w:rsidR="00843254" w:rsidRPr="008D349F">
        <w:rPr>
          <w:rFonts w:cs="David" w:hint="cs"/>
          <w:rtl/>
        </w:rPr>
        <w:t xml:space="preserve"> ו</w:t>
      </w:r>
      <w:r w:rsidRPr="008D349F">
        <w:rPr>
          <w:rFonts w:cs="David" w:hint="cs"/>
          <w:rtl/>
        </w:rPr>
        <w:t xml:space="preserve">סלובניה. </w:t>
      </w:r>
      <w:r w:rsidRPr="001E0BA3">
        <w:rPr>
          <w:rFonts w:cs="David" w:hint="cs"/>
          <w:b/>
          <w:bCs/>
          <w:rtl/>
        </w:rPr>
        <w:t xml:space="preserve">עם זאת, חלה </w:t>
      </w:r>
      <w:r w:rsidR="00960E68" w:rsidRPr="001E0BA3">
        <w:rPr>
          <w:rFonts w:cs="David" w:hint="cs"/>
          <w:b/>
          <w:bCs/>
          <w:rtl/>
        </w:rPr>
        <w:t xml:space="preserve">בישראל </w:t>
      </w:r>
      <w:r w:rsidRPr="001E0BA3">
        <w:rPr>
          <w:rFonts w:cs="David" w:hint="cs"/>
          <w:b/>
          <w:bCs/>
          <w:rtl/>
        </w:rPr>
        <w:t>ירידה בשיעור התמותה מסרטן השד - כמו גם ב</w:t>
      </w:r>
      <w:r w:rsidR="00FC3633" w:rsidRPr="001E0BA3">
        <w:rPr>
          <w:rFonts w:cs="David" w:hint="cs"/>
          <w:b/>
          <w:bCs/>
          <w:rtl/>
        </w:rPr>
        <w:t xml:space="preserve">רוב </w:t>
      </w:r>
      <w:r w:rsidRPr="001E0BA3">
        <w:rPr>
          <w:rFonts w:cs="David" w:hint="cs"/>
          <w:b/>
          <w:bCs/>
          <w:rtl/>
        </w:rPr>
        <w:t>מדינות</w:t>
      </w:r>
      <w:r w:rsidR="00FC3633" w:rsidRPr="001E0BA3">
        <w:rPr>
          <w:rFonts w:cs="David" w:hint="cs"/>
          <w:b/>
          <w:bCs/>
          <w:rtl/>
        </w:rPr>
        <w:t xml:space="preserve"> ה-</w:t>
      </w:r>
      <w:r w:rsidRPr="001E0BA3">
        <w:rPr>
          <w:rFonts w:cs="David"/>
          <w:b/>
          <w:bCs/>
        </w:rPr>
        <w:t xml:space="preserve">OECD </w:t>
      </w:r>
      <w:r w:rsidRPr="001E0BA3">
        <w:rPr>
          <w:rFonts w:cs="David" w:hint="cs"/>
          <w:b/>
          <w:bCs/>
          <w:rtl/>
        </w:rPr>
        <w:t>- בהשוואה לשיעור התמותה בשנת 200</w:t>
      </w:r>
      <w:r w:rsidR="00843254" w:rsidRPr="001E0BA3">
        <w:rPr>
          <w:rFonts w:cs="David" w:hint="cs"/>
          <w:b/>
          <w:bCs/>
          <w:rtl/>
        </w:rPr>
        <w:t>5</w:t>
      </w:r>
      <w:r w:rsidRPr="008D349F">
        <w:rPr>
          <w:rFonts w:cs="David" w:hint="cs"/>
          <w:rtl/>
        </w:rPr>
        <w:t xml:space="preserve"> (תרשים </w:t>
      </w:r>
      <w:r w:rsidR="009B5D59" w:rsidRPr="008D349F">
        <w:rPr>
          <w:rFonts w:cs="David" w:hint="cs"/>
          <w:rtl/>
        </w:rPr>
        <w:t>8</w:t>
      </w:r>
      <w:r w:rsidRPr="008D349F">
        <w:rPr>
          <w:rFonts w:cs="David" w:hint="cs"/>
          <w:rtl/>
        </w:rPr>
        <w:t>)</w:t>
      </w:r>
      <w:r w:rsidR="00960E68">
        <w:rPr>
          <w:rFonts w:cs="David" w:hint="cs"/>
          <w:rtl/>
        </w:rPr>
        <w:t>: ירידה מצטברת של כ-25% במהלך תקופה זו</w:t>
      </w:r>
      <w:r w:rsidRPr="008D349F">
        <w:rPr>
          <w:rFonts w:cs="David" w:hint="cs"/>
          <w:rtl/>
        </w:rPr>
        <w:t xml:space="preserve">. </w:t>
      </w:r>
    </w:p>
    <w:p w:rsidR="00255F52" w:rsidRPr="008D349F" w:rsidRDefault="00255F52" w:rsidP="00FC3633">
      <w:pPr>
        <w:bidi/>
        <w:spacing w:line="360" w:lineRule="auto"/>
        <w:jc w:val="both"/>
        <w:rPr>
          <w:rFonts w:cs="David"/>
          <w:kern w:val="28"/>
          <w:rtl/>
        </w:rPr>
      </w:pPr>
      <w:r w:rsidRPr="008D349F">
        <w:rPr>
          <w:rFonts w:cs="David" w:hint="cs"/>
          <w:rtl/>
        </w:rPr>
        <w:t xml:space="preserve">שיעור ביצוע ממוגרפיה לצורך גילוי מוקדם של סרטן השד </w:t>
      </w:r>
      <w:r w:rsidR="00FC3633" w:rsidRPr="008D349F">
        <w:rPr>
          <w:rFonts w:cs="David" w:hint="cs"/>
          <w:rtl/>
        </w:rPr>
        <w:t xml:space="preserve">בקרב בנות 50-69 בשנתיים האחרונות הושווה בין </w:t>
      </w:r>
      <w:r w:rsidRPr="008D349F">
        <w:rPr>
          <w:rFonts w:cs="David" w:hint="cs"/>
          <w:rtl/>
        </w:rPr>
        <w:t>33 מדינות ה-</w:t>
      </w:r>
      <w:r w:rsidRPr="008D349F">
        <w:rPr>
          <w:rFonts w:cs="David"/>
        </w:rPr>
        <w:t>OECD</w:t>
      </w:r>
      <w:r w:rsidRPr="008D349F">
        <w:rPr>
          <w:rFonts w:cs="David" w:hint="cs"/>
          <w:rtl/>
        </w:rPr>
        <w:t xml:space="preserve"> ב</w:t>
      </w:r>
      <w:r w:rsidR="00FC3633" w:rsidRPr="008D349F">
        <w:rPr>
          <w:rFonts w:cs="David" w:hint="cs"/>
          <w:rtl/>
        </w:rPr>
        <w:t>ין 2005 ו-2015. בהשוואה זו</w:t>
      </w:r>
      <w:r w:rsidRPr="008D349F">
        <w:rPr>
          <w:rFonts w:cs="David" w:hint="cs"/>
          <w:rtl/>
        </w:rPr>
        <w:t xml:space="preserve"> ישראל (71% בשנת 2015) נמצאה מעל לממוצע ה-</w:t>
      </w:r>
      <w:r w:rsidRPr="008D349F">
        <w:rPr>
          <w:rFonts w:cs="David"/>
        </w:rPr>
        <w:t>OECD</w:t>
      </w:r>
      <w:r w:rsidRPr="008D349F">
        <w:rPr>
          <w:rFonts w:cs="David" w:hint="cs"/>
          <w:rtl/>
        </w:rPr>
        <w:t xml:space="preserve"> (60.8% בשנת 2015) ובמקום גבוה יחסית, אחרי פינלנד, סלובניה, ספרד, ארה"ב, הולנד, נורבגיה, בריטניה, אירלנד, אוסטריה וניו זילנד. </w:t>
      </w:r>
      <w:r w:rsidR="00FC3633" w:rsidRPr="008D349F">
        <w:rPr>
          <w:rFonts w:cs="David" w:hint="cs"/>
          <w:rtl/>
        </w:rPr>
        <w:t xml:space="preserve">לעומת </w:t>
      </w:r>
      <w:r w:rsidRPr="008D349F">
        <w:rPr>
          <w:rFonts w:cs="David" w:hint="cs"/>
          <w:rtl/>
        </w:rPr>
        <w:t>שנת 2005</w:t>
      </w:r>
      <w:r w:rsidR="00FC3633" w:rsidRPr="008D349F">
        <w:rPr>
          <w:rFonts w:cs="David" w:hint="cs"/>
          <w:rtl/>
        </w:rPr>
        <w:t>,</w:t>
      </w:r>
      <w:r w:rsidRPr="008D349F">
        <w:rPr>
          <w:rFonts w:cs="David" w:hint="cs"/>
          <w:rtl/>
        </w:rPr>
        <w:t xml:space="preserve"> נצפתה עלייה או יציבות בשיעורי ביצוע הממוגרפיה כמעט בכל המדינות  (תרשים 9).</w:t>
      </w:r>
    </w:p>
    <w:p w:rsidR="00255F52" w:rsidRPr="008D349F" w:rsidRDefault="00B32B5B" w:rsidP="00347B5B">
      <w:pPr>
        <w:bidi/>
        <w:spacing w:line="360" w:lineRule="auto"/>
        <w:jc w:val="both"/>
        <w:rPr>
          <w:rFonts w:cs="David"/>
          <w:rtl/>
        </w:rPr>
      </w:pPr>
      <w:r w:rsidRPr="008D349F">
        <w:rPr>
          <w:rFonts w:cs="David" w:hint="cs"/>
          <w:rtl/>
        </w:rPr>
        <w:t>הישרדות מסרטן השד לחמש שנים ב-31 מדינות ה-</w:t>
      </w:r>
      <w:r w:rsidRPr="008D349F">
        <w:rPr>
          <w:rFonts w:cs="David"/>
        </w:rPr>
        <w:t>OECD</w:t>
      </w:r>
      <w:r w:rsidRPr="008D349F">
        <w:rPr>
          <w:rFonts w:cs="David" w:hint="cs"/>
          <w:rtl/>
        </w:rPr>
        <w:t xml:space="preserve"> נבחנה עבור התקופות 2000-2004 ו-2010-2014. ישראל (88.2% לתקופה 2010-</w:t>
      </w:r>
      <w:r w:rsidR="00344BA2" w:rsidRPr="008D349F">
        <w:rPr>
          <w:rFonts w:cs="David" w:hint="cs"/>
          <w:rtl/>
        </w:rPr>
        <w:t>20</w:t>
      </w:r>
      <w:r w:rsidRPr="008D349F">
        <w:rPr>
          <w:rFonts w:cs="David" w:hint="cs"/>
          <w:rtl/>
        </w:rPr>
        <w:t xml:space="preserve">14) נמצאה </w:t>
      </w:r>
      <w:r w:rsidR="00347B5B">
        <w:rPr>
          <w:rFonts w:cs="David" w:hint="cs"/>
          <w:rtl/>
        </w:rPr>
        <w:t xml:space="preserve">במקום ה-14 </w:t>
      </w:r>
      <w:r w:rsidRPr="00347B5B">
        <w:rPr>
          <w:rFonts w:cs="David" w:hint="cs"/>
          <w:b/>
          <w:bCs/>
          <w:rtl/>
        </w:rPr>
        <w:t>מעל לממוצע ה-</w:t>
      </w:r>
      <w:r w:rsidRPr="00347B5B">
        <w:rPr>
          <w:rFonts w:cs="David"/>
          <w:b/>
          <w:bCs/>
        </w:rPr>
        <w:t>OECD</w:t>
      </w:r>
      <w:r w:rsidRPr="008D349F">
        <w:rPr>
          <w:rFonts w:cs="David" w:hint="cs"/>
          <w:rtl/>
        </w:rPr>
        <w:t xml:space="preserve"> (85%) </w:t>
      </w:r>
      <w:r w:rsidR="00347B5B">
        <w:rPr>
          <w:rFonts w:cs="David" w:hint="cs"/>
          <w:rtl/>
        </w:rPr>
        <w:t xml:space="preserve">- </w:t>
      </w:r>
      <w:r w:rsidRPr="008D349F">
        <w:rPr>
          <w:rFonts w:cs="David" w:hint="cs"/>
          <w:rtl/>
        </w:rPr>
        <w:lastRenderedPageBreak/>
        <w:t xml:space="preserve">אחרי קוסטה ריקה, ארה"ב, אוסטרליה, יפן, איסלנד, </w:t>
      </w:r>
      <w:r w:rsidRPr="001E0BA3">
        <w:rPr>
          <w:rFonts w:cs="David" w:hint="cs"/>
          <w:rtl/>
        </w:rPr>
        <w:t>שבדיה,</w:t>
      </w:r>
      <w:r w:rsidRPr="008D349F">
        <w:rPr>
          <w:rFonts w:cs="David" w:hint="cs"/>
          <w:rtl/>
        </w:rPr>
        <w:t xml:space="preserve"> פינלנד</w:t>
      </w:r>
      <w:r w:rsidR="00FC3633" w:rsidRPr="008D349F">
        <w:rPr>
          <w:rFonts w:cs="David" w:hint="cs"/>
          <w:rtl/>
        </w:rPr>
        <w:t xml:space="preserve"> וקנדה</w:t>
      </w:r>
      <w:r w:rsidRPr="008D349F">
        <w:rPr>
          <w:rFonts w:cs="David" w:hint="cs"/>
          <w:rtl/>
        </w:rPr>
        <w:t>. בהשוואה ל</w:t>
      </w:r>
      <w:r w:rsidR="00344BA2" w:rsidRPr="008D349F">
        <w:rPr>
          <w:rFonts w:cs="David" w:hint="cs"/>
          <w:rtl/>
        </w:rPr>
        <w:t xml:space="preserve">תקופת הזמן 2000-2004,  בתקופה 2010-2014 </w:t>
      </w:r>
      <w:r w:rsidRPr="008D349F">
        <w:rPr>
          <w:rFonts w:cs="David" w:hint="cs"/>
          <w:rtl/>
        </w:rPr>
        <w:t xml:space="preserve">נצפתה עלייה או יציבות בשיעורי </w:t>
      </w:r>
      <w:r w:rsidR="00344BA2" w:rsidRPr="008D349F">
        <w:rPr>
          <w:rFonts w:cs="David" w:hint="cs"/>
          <w:rtl/>
        </w:rPr>
        <w:t xml:space="preserve">ההישרדות ל-5 שנים </w:t>
      </w:r>
      <w:r w:rsidRPr="008D349F">
        <w:rPr>
          <w:rFonts w:cs="David" w:hint="cs"/>
          <w:rtl/>
        </w:rPr>
        <w:t xml:space="preserve">כמעט בכל המדינות  (תרשים </w:t>
      </w:r>
      <w:r w:rsidR="00344BA2" w:rsidRPr="008D349F">
        <w:rPr>
          <w:rFonts w:cs="David" w:hint="cs"/>
          <w:rtl/>
        </w:rPr>
        <w:t>10</w:t>
      </w:r>
      <w:r w:rsidRPr="008D349F">
        <w:rPr>
          <w:rFonts w:cs="David" w:hint="cs"/>
          <w:rtl/>
        </w:rPr>
        <w:t>).</w:t>
      </w:r>
    </w:p>
    <w:p w:rsidR="00843254" w:rsidRDefault="00843254">
      <w:pPr>
        <w:widowControl/>
        <w:suppressAutoHyphens w:val="0"/>
        <w:rPr>
          <w:rFonts w:cs="David"/>
          <w:kern w:val="28"/>
          <w:sz w:val="18"/>
          <w:szCs w:val="18"/>
        </w:rPr>
      </w:pPr>
    </w:p>
    <w:p w:rsidR="00F11410" w:rsidRPr="00F11410" w:rsidRDefault="00F11410" w:rsidP="009B5D59">
      <w:pPr>
        <w:bidi/>
        <w:spacing w:line="360" w:lineRule="auto"/>
        <w:jc w:val="both"/>
        <w:rPr>
          <w:rFonts w:cs="David"/>
          <w:b/>
          <w:bCs/>
          <w:kern w:val="28"/>
          <w:sz w:val="18"/>
          <w:szCs w:val="18"/>
          <w:rtl/>
        </w:rPr>
      </w:pPr>
      <w:r w:rsidRPr="00F11410">
        <w:rPr>
          <w:rFonts w:cs="David" w:hint="cs"/>
          <w:kern w:val="28"/>
          <w:sz w:val="18"/>
          <w:szCs w:val="18"/>
          <w:rtl/>
        </w:rPr>
        <w:t xml:space="preserve">תרשים </w:t>
      </w:r>
      <w:r w:rsidR="009B5D59">
        <w:rPr>
          <w:rFonts w:cs="David" w:hint="cs"/>
          <w:kern w:val="28"/>
          <w:sz w:val="18"/>
          <w:szCs w:val="18"/>
          <w:rtl/>
        </w:rPr>
        <w:t>7</w:t>
      </w:r>
      <w:r w:rsidRPr="00F11410">
        <w:rPr>
          <w:rFonts w:cs="David" w:hint="cs"/>
          <w:kern w:val="28"/>
          <w:sz w:val="18"/>
          <w:szCs w:val="18"/>
          <w:rtl/>
        </w:rPr>
        <w:t xml:space="preserve">: </w:t>
      </w:r>
      <w:r w:rsidRPr="00F11410">
        <w:rPr>
          <w:rFonts w:cs="David" w:hint="cs"/>
          <w:b/>
          <w:bCs/>
          <w:kern w:val="28"/>
          <w:sz w:val="18"/>
          <w:szCs w:val="18"/>
          <w:rtl/>
        </w:rPr>
        <w:t>שיעורי ההיארעות של סרטן השד</w:t>
      </w:r>
      <w:r w:rsidR="00FC3633">
        <w:rPr>
          <w:rFonts w:cs="David" w:hint="cs"/>
          <w:b/>
          <w:bCs/>
          <w:kern w:val="28"/>
          <w:sz w:val="18"/>
          <w:szCs w:val="18"/>
          <w:rtl/>
        </w:rPr>
        <w:t xml:space="preserve"> בקרב נשים </w:t>
      </w:r>
      <w:r w:rsidRPr="00F11410">
        <w:rPr>
          <w:rFonts w:cs="David" w:hint="cs"/>
          <w:b/>
          <w:bCs/>
          <w:kern w:val="28"/>
          <w:sz w:val="18"/>
          <w:szCs w:val="18"/>
          <w:rtl/>
        </w:rPr>
        <w:t xml:space="preserve"> ב-34 מדינות </w:t>
      </w:r>
      <w:r w:rsidRPr="00F11410">
        <w:rPr>
          <w:rFonts w:cs="David"/>
          <w:b/>
          <w:bCs/>
          <w:kern w:val="28"/>
          <w:sz w:val="18"/>
          <w:szCs w:val="18"/>
        </w:rPr>
        <w:t>OECD</w:t>
      </w:r>
      <w:r w:rsidRPr="00F11410">
        <w:rPr>
          <w:rFonts w:cs="David" w:hint="cs"/>
          <w:b/>
          <w:bCs/>
          <w:kern w:val="28"/>
          <w:sz w:val="18"/>
          <w:szCs w:val="18"/>
          <w:rtl/>
        </w:rPr>
        <w:t>, 2012</w:t>
      </w:r>
    </w:p>
    <w:p w:rsidR="00F11410" w:rsidRDefault="00FC3633" w:rsidP="00F11410">
      <w:pPr>
        <w:bidi/>
        <w:spacing w:line="360" w:lineRule="auto"/>
        <w:jc w:val="both"/>
        <w:rPr>
          <w:rFonts w:cs="David"/>
          <w:sz w:val="22"/>
          <w:szCs w:val="22"/>
          <w:rtl/>
        </w:rPr>
      </w:pPr>
      <w:r>
        <w:rPr>
          <w:rFonts w:cs="David"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90B96" wp14:editId="63DE38A8">
                <wp:simplePos x="0" y="0"/>
                <wp:positionH relativeFrom="column">
                  <wp:posOffset>4845685</wp:posOffset>
                </wp:positionH>
                <wp:positionV relativeFrom="paragraph">
                  <wp:posOffset>1529080</wp:posOffset>
                </wp:positionV>
                <wp:extent cx="457200" cy="182880"/>
                <wp:effectExtent l="0" t="0" r="19050" b="26670"/>
                <wp:wrapNone/>
                <wp:docPr id="18" name="חץ שמאלה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82880"/>
                        </a:xfrm>
                        <a:prstGeom prst="left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חץ שמאלה 18" o:spid="_x0000_s1026" type="#_x0000_t66" style="position:absolute;left:0;text-align:left;margin-left:381.55pt;margin-top:120.4pt;width:36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" adj="4320" fillcolor="#c0504d [3205]" strokecolor="#622423 [1605]" strokeweight="2pt"/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39819A30" wp14:editId="3C050837">
            <wp:extent cx="4236720" cy="3821430"/>
            <wp:effectExtent l="0" t="0" r="0" b="7620"/>
            <wp:docPr id="20" name="תרשים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10FFB" w:rsidRDefault="00A10FFB">
      <w:pPr>
        <w:widowControl/>
        <w:suppressAutoHyphens w:val="0"/>
        <w:rPr>
          <w:rFonts w:cs="David"/>
          <w:kern w:val="28"/>
          <w:sz w:val="18"/>
          <w:szCs w:val="18"/>
          <w:rtl/>
        </w:rPr>
      </w:pPr>
    </w:p>
    <w:p w:rsidR="00B00D6F" w:rsidRPr="00B00D6F" w:rsidRDefault="00B00D6F" w:rsidP="00CE63CF">
      <w:pPr>
        <w:bidi/>
        <w:spacing w:line="360" w:lineRule="auto"/>
        <w:jc w:val="both"/>
        <w:rPr>
          <w:rFonts w:cs="David"/>
          <w:b/>
          <w:bCs/>
          <w:kern w:val="28"/>
          <w:sz w:val="18"/>
          <w:szCs w:val="18"/>
          <w:rtl/>
        </w:rPr>
      </w:pPr>
      <w:r w:rsidRPr="00B00D6F">
        <w:rPr>
          <w:rFonts w:cs="David" w:hint="cs"/>
          <w:kern w:val="28"/>
          <w:sz w:val="18"/>
          <w:szCs w:val="18"/>
          <w:rtl/>
        </w:rPr>
        <w:t xml:space="preserve">תרשים </w:t>
      </w:r>
      <w:r w:rsidR="009B5D59">
        <w:rPr>
          <w:rFonts w:cs="David" w:hint="cs"/>
          <w:kern w:val="28"/>
          <w:sz w:val="18"/>
          <w:szCs w:val="18"/>
          <w:rtl/>
        </w:rPr>
        <w:t>8</w:t>
      </w:r>
      <w:r w:rsidRPr="00B00D6F">
        <w:rPr>
          <w:rFonts w:cs="David" w:hint="cs"/>
          <w:kern w:val="28"/>
          <w:sz w:val="18"/>
          <w:szCs w:val="18"/>
          <w:rtl/>
        </w:rPr>
        <w:t xml:space="preserve">: </w:t>
      </w:r>
      <w:r w:rsidRPr="00B00D6F">
        <w:rPr>
          <w:rFonts w:cs="David" w:hint="cs"/>
          <w:b/>
          <w:bCs/>
          <w:kern w:val="28"/>
          <w:sz w:val="18"/>
          <w:szCs w:val="18"/>
          <w:rtl/>
        </w:rPr>
        <w:t xml:space="preserve">שיעור התמותה מסרטן השד </w:t>
      </w:r>
      <w:r w:rsidR="00FC3633">
        <w:rPr>
          <w:rFonts w:cs="David" w:hint="cs"/>
          <w:b/>
          <w:bCs/>
          <w:kern w:val="28"/>
          <w:sz w:val="18"/>
          <w:szCs w:val="18"/>
          <w:rtl/>
        </w:rPr>
        <w:t xml:space="preserve">בקרב נשים </w:t>
      </w:r>
      <w:r w:rsidRPr="00B00D6F">
        <w:rPr>
          <w:rFonts w:cs="David" w:hint="cs"/>
          <w:b/>
          <w:bCs/>
          <w:kern w:val="28"/>
          <w:sz w:val="18"/>
          <w:szCs w:val="18"/>
          <w:rtl/>
        </w:rPr>
        <w:t>בשנים 200</w:t>
      </w:r>
      <w:r w:rsidR="00CE63CF">
        <w:rPr>
          <w:rFonts w:cs="David" w:hint="cs"/>
          <w:b/>
          <w:bCs/>
          <w:kern w:val="28"/>
          <w:sz w:val="18"/>
          <w:szCs w:val="18"/>
          <w:rtl/>
        </w:rPr>
        <w:t>5</w:t>
      </w:r>
      <w:r w:rsidRPr="00B00D6F">
        <w:rPr>
          <w:rFonts w:cs="David" w:hint="cs"/>
          <w:b/>
          <w:bCs/>
          <w:kern w:val="28"/>
          <w:sz w:val="18"/>
          <w:szCs w:val="18"/>
          <w:rtl/>
        </w:rPr>
        <w:t xml:space="preserve"> ו-201</w:t>
      </w:r>
      <w:r w:rsidR="00CE63CF">
        <w:rPr>
          <w:rFonts w:cs="David" w:hint="cs"/>
          <w:b/>
          <w:bCs/>
          <w:kern w:val="28"/>
          <w:sz w:val="18"/>
          <w:szCs w:val="18"/>
          <w:rtl/>
        </w:rPr>
        <w:t>5</w:t>
      </w:r>
      <w:r w:rsidRPr="00B00D6F">
        <w:rPr>
          <w:rFonts w:cs="David" w:hint="cs"/>
          <w:b/>
          <w:bCs/>
          <w:kern w:val="28"/>
          <w:sz w:val="18"/>
          <w:szCs w:val="18"/>
          <w:rtl/>
        </w:rPr>
        <w:t xml:space="preserve"> (או השנה הקרובה ביותר) במדינות ה-</w:t>
      </w:r>
      <w:r w:rsidRPr="00B00D6F">
        <w:rPr>
          <w:rFonts w:cs="David"/>
          <w:b/>
          <w:bCs/>
          <w:kern w:val="28"/>
          <w:sz w:val="18"/>
          <w:szCs w:val="18"/>
        </w:rPr>
        <w:t>OECD</w:t>
      </w:r>
    </w:p>
    <w:p w:rsidR="008F48AF" w:rsidRDefault="00CE63CF" w:rsidP="008F48AF">
      <w:pPr>
        <w:bidi/>
        <w:spacing w:line="360" w:lineRule="auto"/>
        <w:jc w:val="both"/>
        <w:rPr>
          <w:rFonts w:cs="David"/>
          <w:sz w:val="22"/>
          <w:szCs w:val="22"/>
          <w:rtl/>
        </w:rPr>
      </w:pPr>
      <w:r>
        <w:rPr>
          <w:rFonts w:cs="David"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7A41B" wp14:editId="210F5D7A">
                <wp:simplePos x="0" y="0"/>
                <wp:positionH relativeFrom="column">
                  <wp:posOffset>4418965</wp:posOffset>
                </wp:positionH>
                <wp:positionV relativeFrom="paragraph">
                  <wp:posOffset>186690</wp:posOffset>
                </wp:positionV>
                <wp:extent cx="129540" cy="281940"/>
                <wp:effectExtent l="19050" t="0" r="41910" b="41910"/>
                <wp:wrapNone/>
                <wp:docPr id="16" name="חץ למטה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28194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חץ למטה 16" o:spid="_x0000_s1026" type="#_x0000_t67" style="position:absolute;left:0;text-align:left;margin-left:347.95pt;margin-top:14.7pt;width:10.2pt;height:2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" adj="16638" fillcolor="#c0504d [3205]" strokecolor="#943634 [2405]" strokeweight="2pt"/>
            </w:pict>
          </mc:Fallback>
        </mc:AlternateContent>
      </w:r>
      <w:r w:rsidRPr="00CE63CF">
        <w:rPr>
          <w:rFonts w:cs="David"/>
          <w:noProof/>
          <w:kern w:val="28"/>
          <w:sz w:val="18"/>
          <w:szCs w:val="18"/>
          <w:rtl/>
          <w:lang w:eastAsia="en-US"/>
        </w:rPr>
        <w:drawing>
          <wp:inline distT="0" distB="0" distL="0" distR="0" wp14:anchorId="07ED670F" wp14:editId="39976CB0">
            <wp:extent cx="5486400" cy="2340610"/>
            <wp:effectExtent l="0" t="0" r="0" b="2540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410" w:rsidRDefault="00F11410">
      <w:pPr>
        <w:widowControl/>
        <w:suppressAutoHyphens w:val="0"/>
        <w:rPr>
          <w:rFonts w:cs="David"/>
          <w:kern w:val="28"/>
          <w:sz w:val="18"/>
          <w:szCs w:val="18"/>
          <w:rtl/>
        </w:rPr>
      </w:pPr>
    </w:p>
    <w:p w:rsidR="006119E5" w:rsidRDefault="006119E5" w:rsidP="00687901">
      <w:pPr>
        <w:bidi/>
        <w:spacing w:line="360" w:lineRule="auto"/>
        <w:jc w:val="both"/>
        <w:rPr>
          <w:rFonts w:cs="David"/>
          <w:kern w:val="28"/>
          <w:sz w:val="18"/>
          <w:szCs w:val="18"/>
          <w:rtl/>
        </w:rPr>
      </w:pPr>
    </w:p>
    <w:p w:rsidR="00255F52" w:rsidRDefault="00255F52">
      <w:pPr>
        <w:widowControl/>
        <w:suppressAutoHyphens w:val="0"/>
        <w:rPr>
          <w:rFonts w:cs="David"/>
          <w:kern w:val="28"/>
          <w:sz w:val="18"/>
          <w:szCs w:val="18"/>
          <w:rtl/>
        </w:rPr>
      </w:pPr>
      <w:r>
        <w:rPr>
          <w:rFonts w:cs="David"/>
          <w:kern w:val="28"/>
          <w:sz w:val="18"/>
          <w:szCs w:val="18"/>
          <w:rtl/>
        </w:rPr>
        <w:br w:type="page"/>
      </w:r>
    </w:p>
    <w:p w:rsidR="008F48AF" w:rsidRPr="00255F52" w:rsidRDefault="00117243" w:rsidP="00FC3633">
      <w:pPr>
        <w:bidi/>
        <w:spacing w:line="360" w:lineRule="auto"/>
        <w:jc w:val="both"/>
        <w:rPr>
          <w:rFonts w:cs="David"/>
          <w:b/>
          <w:bCs/>
          <w:kern w:val="28"/>
          <w:sz w:val="18"/>
          <w:szCs w:val="18"/>
          <w:rtl/>
        </w:rPr>
      </w:pPr>
      <w:r w:rsidRPr="00B00D6F">
        <w:rPr>
          <w:rFonts w:cs="David" w:hint="cs"/>
          <w:kern w:val="28"/>
          <w:sz w:val="18"/>
          <w:szCs w:val="18"/>
          <w:rtl/>
        </w:rPr>
        <w:lastRenderedPageBreak/>
        <w:t>תרשים</w:t>
      </w:r>
      <w:r w:rsidR="00687901">
        <w:rPr>
          <w:rFonts w:cs="David" w:hint="cs"/>
          <w:kern w:val="28"/>
          <w:sz w:val="18"/>
          <w:szCs w:val="18"/>
          <w:rtl/>
        </w:rPr>
        <w:t xml:space="preserve"> </w:t>
      </w:r>
      <w:r w:rsidR="009B5D59">
        <w:rPr>
          <w:rFonts w:cs="David" w:hint="cs"/>
          <w:kern w:val="28"/>
          <w:sz w:val="18"/>
          <w:szCs w:val="18"/>
          <w:rtl/>
        </w:rPr>
        <w:t>9</w:t>
      </w:r>
      <w:r w:rsidRPr="00B00D6F">
        <w:rPr>
          <w:rFonts w:cs="David" w:hint="cs"/>
          <w:kern w:val="28"/>
          <w:sz w:val="18"/>
          <w:szCs w:val="18"/>
          <w:rtl/>
        </w:rPr>
        <w:t xml:space="preserve">: </w:t>
      </w:r>
      <w:r w:rsidR="006119E5">
        <w:rPr>
          <w:rFonts w:cs="David" w:hint="cs"/>
          <w:b/>
          <w:bCs/>
          <w:kern w:val="28"/>
          <w:sz w:val="18"/>
          <w:szCs w:val="18"/>
          <w:rtl/>
        </w:rPr>
        <w:t xml:space="preserve">שיעור השימוש בממוגרפיה לצורך גילוי מוקדם של סרטן השד </w:t>
      </w:r>
      <w:r w:rsidR="00FC3633">
        <w:rPr>
          <w:rFonts w:cs="David" w:hint="cs"/>
          <w:b/>
          <w:bCs/>
          <w:kern w:val="28"/>
          <w:sz w:val="18"/>
          <w:szCs w:val="18"/>
          <w:rtl/>
        </w:rPr>
        <w:t>בנשים מ</w:t>
      </w:r>
      <w:r w:rsidR="006119E5">
        <w:rPr>
          <w:rFonts w:cs="David" w:hint="cs"/>
          <w:b/>
          <w:bCs/>
          <w:kern w:val="28"/>
          <w:sz w:val="18"/>
          <w:szCs w:val="18"/>
          <w:rtl/>
        </w:rPr>
        <w:t>מדינות ה-</w:t>
      </w:r>
      <w:r w:rsidR="006119E5">
        <w:rPr>
          <w:rFonts w:cs="David"/>
          <w:b/>
          <w:bCs/>
          <w:kern w:val="28"/>
          <w:sz w:val="18"/>
          <w:szCs w:val="18"/>
        </w:rPr>
        <w:t>OECD</w:t>
      </w:r>
      <w:r w:rsidR="006119E5">
        <w:rPr>
          <w:rFonts w:cs="David" w:hint="cs"/>
          <w:b/>
          <w:bCs/>
          <w:kern w:val="28"/>
          <w:sz w:val="18"/>
          <w:szCs w:val="18"/>
          <w:rtl/>
        </w:rPr>
        <w:t xml:space="preserve">, </w:t>
      </w:r>
      <w:r w:rsidR="00255F52" w:rsidRPr="00255F52">
        <w:rPr>
          <w:rFonts w:cs="David" w:hint="cs"/>
          <w:b/>
          <w:bCs/>
          <w:kern w:val="28"/>
          <w:sz w:val="18"/>
          <w:szCs w:val="18"/>
          <w:rtl/>
        </w:rPr>
        <w:t>2005 ו-2015</w:t>
      </w:r>
    </w:p>
    <w:p w:rsidR="00BF54DA" w:rsidRPr="006119E5" w:rsidRDefault="00255F52" w:rsidP="00BF54DA">
      <w:pPr>
        <w:bidi/>
        <w:spacing w:line="360" w:lineRule="auto"/>
        <w:jc w:val="both"/>
        <w:rPr>
          <w:rFonts w:cs="David"/>
          <w:sz w:val="16"/>
          <w:szCs w:val="16"/>
          <w:rtl/>
        </w:rPr>
      </w:pPr>
      <w:r w:rsidRPr="00255F52">
        <w:rPr>
          <w:rFonts w:cs="David"/>
          <w:b/>
          <w:bCs/>
          <w:noProof/>
          <w:color w:val="0000FF"/>
          <w:kern w:val="28"/>
          <w:sz w:val="28"/>
          <w:szCs w:val="28"/>
          <w:lang w:eastAsia="en-US"/>
        </w:rPr>
        <w:drawing>
          <wp:anchor distT="0" distB="0" distL="114300" distR="114300" simplePos="0" relativeHeight="251664384" behindDoc="0" locked="0" layoutInCell="1" allowOverlap="1" wp14:anchorId="13753361" wp14:editId="1240C0DF">
            <wp:simplePos x="0" y="0"/>
            <wp:positionH relativeFrom="column">
              <wp:posOffset>90170</wp:posOffset>
            </wp:positionH>
            <wp:positionV relativeFrom="paragraph">
              <wp:posOffset>100330</wp:posOffset>
            </wp:positionV>
            <wp:extent cx="5486400" cy="2265045"/>
            <wp:effectExtent l="0" t="0" r="0" b="190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4DA" w:rsidRPr="00117243" w:rsidRDefault="00FC3633" w:rsidP="00BF54DA">
      <w:pPr>
        <w:bidi/>
        <w:spacing w:line="360" w:lineRule="auto"/>
        <w:jc w:val="both"/>
        <w:rPr>
          <w:rFonts w:cs="David"/>
          <w:sz w:val="16"/>
          <w:szCs w:val="16"/>
          <w:rtl/>
        </w:rPr>
      </w:pPr>
      <w:r>
        <w:rPr>
          <w:rFonts w:cs="David"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97FA50" wp14:editId="036A8863">
                <wp:simplePos x="0" y="0"/>
                <wp:positionH relativeFrom="column">
                  <wp:posOffset>2178685</wp:posOffset>
                </wp:positionH>
                <wp:positionV relativeFrom="paragraph">
                  <wp:posOffset>-1270</wp:posOffset>
                </wp:positionV>
                <wp:extent cx="129540" cy="281940"/>
                <wp:effectExtent l="19050" t="0" r="41910" b="41910"/>
                <wp:wrapNone/>
                <wp:docPr id="24" name="חץ למטה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281940"/>
                        </a:xfrm>
                        <a:prstGeom prst="down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חץ למטה 24" o:spid="_x0000_s1026" type="#_x0000_t67" style="position:absolute;left:0;text-align:left;margin-left:171.55pt;margin-top:-.1pt;width:10.2pt;height:22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" adj="16638" fillcolor="#c0504d" strokecolor="#953735" strokeweight="2pt"/>
            </w:pict>
          </mc:Fallback>
        </mc:AlternateContent>
      </w:r>
    </w:p>
    <w:p w:rsidR="00A02783" w:rsidRDefault="00A02783" w:rsidP="00BF54DA">
      <w:pPr>
        <w:bidi/>
        <w:spacing w:line="360" w:lineRule="auto"/>
        <w:jc w:val="both"/>
        <w:rPr>
          <w:rFonts w:cs="David"/>
          <w:b/>
          <w:bCs/>
          <w:color w:val="0000FF"/>
          <w:kern w:val="28"/>
          <w:sz w:val="28"/>
          <w:szCs w:val="28"/>
        </w:rPr>
      </w:pPr>
    </w:p>
    <w:p w:rsidR="00A02783" w:rsidRDefault="00A02783" w:rsidP="00A02783">
      <w:pPr>
        <w:bidi/>
        <w:spacing w:line="360" w:lineRule="auto"/>
        <w:jc w:val="both"/>
        <w:rPr>
          <w:rFonts w:cs="David"/>
          <w:b/>
          <w:bCs/>
          <w:color w:val="0000FF"/>
          <w:kern w:val="28"/>
          <w:sz w:val="28"/>
          <w:szCs w:val="28"/>
          <w:rtl/>
        </w:rPr>
      </w:pPr>
    </w:p>
    <w:p w:rsidR="00A02783" w:rsidRDefault="00A02783" w:rsidP="00A02783">
      <w:pPr>
        <w:bidi/>
        <w:spacing w:line="360" w:lineRule="auto"/>
        <w:jc w:val="both"/>
        <w:rPr>
          <w:rFonts w:cs="David"/>
          <w:b/>
          <w:bCs/>
          <w:color w:val="0000FF"/>
          <w:kern w:val="28"/>
          <w:sz w:val="28"/>
          <w:szCs w:val="28"/>
          <w:rtl/>
        </w:rPr>
      </w:pPr>
    </w:p>
    <w:p w:rsidR="00A02783" w:rsidRDefault="00A02783" w:rsidP="00A02783">
      <w:pPr>
        <w:bidi/>
        <w:spacing w:line="360" w:lineRule="auto"/>
        <w:jc w:val="both"/>
        <w:rPr>
          <w:rFonts w:cs="David"/>
          <w:b/>
          <w:bCs/>
          <w:color w:val="0000FF"/>
          <w:kern w:val="28"/>
          <w:sz w:val="28"/>
          <w:szCs w:val="28"/>
          <w:rtl/>
        </w:rPr>
      </w:pPr>
    </w:p>
    <w:p w:rsidR="00A02783" w:rsidRDefault="00A02783" w:rsidP="00A02783">
      <w:pPr>
        <w:bidi/>
        <w:spacing w:line="360" w:lineRule="auto"/>
        <w:jc w:val="both"/>
        <w:rPr>
          <w:rFonts w:cs="David"/>
          <w:b/>
          <w:bCs/>
          <w:color w:val="0000FF"/>
          <w:kern w:val="28"/>
          <w:sz w:val="28"/>
          <w:szCs w:val="28"/>
          <w:rtl/>
        </w:rPr>
      </w:pPr>
    </w:p>
    <w:p w:rsidR="00A02783" w:rsidRDefault="00A02783" w:rsidP="00A02783">
      <w:pPr>
        <w:bidi/>
        <w:spacing w:line="360" w:lineRule="auto"/>
        <w:jc w:val="both"/>
        <w:rPr>
          <w:rFonts w:cs="David"/>
          <w:b/>
          <w:bCs/>
          <w:color w:val="0000FF"/>
          <w:kern w:val="28"/>
          <w:sz w:val="28"/>
          <w:szCs w:val="28"/>
          <w:rtl/>
        </w:rPr>
      </w:pPr>
    </w:p>
    <w:p w:rsidR="00A02783" w:rsidRDefault="00A02783" w:rsidP="00A02783">
      <w:pPr>
        <w:bidi/>
        <w:spacing w:line="360" w:lineRule="auto"/>
        <w:jc w:val="both"/>
        <w:rPr>
          <w:rFonts w:cs="David"/>
          <w:b/>
          <w:bCs/>
          <w:color w:val="0000FF"/>
          <w:kern w:val="28"/>
          <w:sz w:val="28"/>
          <w:szCs w:val="28"/>
          <w:rtl/>
        </w:rPr>
      </w:pPr>
    </w:p>
    <w:p w:rsidR="00A02783" w:rsidRDefault="00A02783" w:rsidP="00A02783">
      <w:pPr>
        <w:bidi/>
        <w:spacing w:line="360" w:lineRule="auto"/>
        <w:jc w:val="both"/>
        <w:rPr>
          <w:rFonts w:cs="David"/>
          <w:b/>
          <w:bCs/>
          <w:color w:val="0000FF"/>
          <w:kern w:val="28"/>
          <w:sz w:val="28"/>
          <w:szCs w:val="28"/>
          <w:rtl/>
        </w:rPr>
      </w:pPr>
    </w:p>
    <w:p w:rsidR="00344BA2" w:rsidRDefault="00344BA2" w:rsidP="00344BA2">
      <w:pPr>
        <w:bidi/>
        <w:spacing w:line="360" w:lineRule="auto"/>
        <w:jc w:val="both"/>
        <w:rPr>
          <w:rFonts w:cs="David"/>
          <w:kern w:val="28"/>
          <w:sz w:val="18"/>
          <w:szCs w:val="18"/>
          <w:rtl/>
        </w:rPr>
      </w:pPr>
    </w:p>
    <w:p w:rsidR="00344BA2" w:rsidRDefault="00344BA2" w:rsidP="00344BA2">
      <w:pPr>
        <w:bidi/>
        <w:spacing w:line="360" w:lineRule="auto"/>
        <w:jc w:val="both"/>
        <w:rPr>
          <w:rFonts w:cs="David"/>
          <w:b/>
          <w:bCs/>
          <w:color w:val="0000FF"/>
          <w:kern w:val="28"/>
          <w:sz w:val="28"/>
          <w:szCs w:val="28"/>
          <w:rtl/>
        </w:rPr>
      </w:pPr>
      <w:r w:rsidRPr="00B00D6F">
        <w:rPr>
          <w:rFonts w:cs="David" w:hint="cs"/>
          <w:kern w:val="28"/>
          <w:sz w:val="18"/>
          <w:szCs w:val="18"/>
          <w:rtl/>
        </w:rPr>
        <w:t>תרשים</w:t>
      </w:r>
      <w:r>
        <w:rPr>
          <w:rFonts w:cs="David" w:hint="cs"/>
          <w:kern w:val="28"/>
          <w:sz w:val="18"/>
          <w:szCs w:val="18"/>
          <w:rtl/>
        </w:rPr>
        <w:t xml:space="preserve"> 10</w:t>
      </w:r>
      <w:r w:rsidRPr="00B00D6F">
        <w:rPr>
          <w:rFonts w:cs="David" w:hint="cs"/>
          <w:kern w:val="28"/>
          <w:sz w:val="18"/>
          <w:szCs w:val="18"/>
          <w:rtl/>
        </w:rPr>
        <w:t xml:space="preserve">: </w:t>
      </w:r>
      <w:r>
        <w:rPr>
          <w:rFonts w:cs="David" w:hint="cs"/>
          <w:b/>
          <w:bCs/>
          <w:kern w:val="28"/>
          <w:sz w:val="18"/>
          <w:szCs w:val="18"/>
          <w:rtl/>
        </w:rPr>
        <w:t xml:space="preserve">שיעור ההישרדות לחמש שנים מסרטן השד </w:t>
      </w:r>
      <w:r w:rsidR="00FC3633">
        <w:rPr>
          <w:rFonts w:cs="David" w:hint="cs"/>
          <w:b/>
          <w:bCs/>
          <w:kern w:val="28"/>
          <w:sz w:val="18"/>
          <w:szCs w:val="18"/>
          <w:rtl/>
        </w:rPr>
        <w:t xml:space="preserve">בקרב נשים </w:t>
      </w:r>
      <w:r>
        <w:rPr>
          <w:rFonts w:cs="David" w:hint="cs"/>
          <w:b/>
          <w:bCs/>
          <w:kern w:val="28"/>
          <w:sz w:val="18"/>
          <w:szCs w:val="18"/>
          <w:rtl/>
        </w:rPr>
        <w:t>במדינות ה-</w:t>
      </w:r>
      <w:r>
        <w:rPr>
          <w:rFonts w:cs="David"/>
          <w:b/>
          <w:bCs/>
          <w:kern w:val="28"/>
          <w:sz w:val="18"/>
          <w:szCs w:val="18"/>
        </w:rPr>
        <w:t>OECD</w:t>
      </w:r>
      <w:r>
        <w:rPr>
          <w:rFonts w:cs="David" w:hint="cs"/>
          <w:b/>
          <w:bCs/>
          <w:kern w:val="28"/>
          <w:sz w:val="18"/>
          <w:szCs w:val="18"/>
          <w:rtl/>
        </w:rPr>
        <w:t xml:space="preserve"> בתקופות 2000-2004, 2010-2014</w:t>
      </w:r>
    </w:p>
    <w:p w:rsidR="00344BA2" w:rsidRDefault="00FC3633" w:rsidP="00344BA2">
      <w:pPr>
        <w:bidi/>
        <w:spacing w:line="360" w:lineRule="auto"/>
        <w:jc w:val="both"/>
        <w:rPr>
          <w:rFonts w:cs="David"/>
          <w:b/>
          <w:bCs/>
          <w:color w:val="0000FF"/>
          <w:kern w:val="28"/>
          <w:sz w:val="28"/>
          <w:szCs w:val="28"/>
          <w:rtl/>
        </w:rPr>
      </w:pPr>
      <w:r>
        <w:rPr>
          <w:rFonts w:cs="David"/>
          <w:b/>
          <w:bCs/>
          <w:noProof/>
          <w:color w:val="0000FF"/>
          <w:kern w:val="28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304800</wp:posOffset>
                </wp:positionV>
                <wp:extent cx="152400" cy="320040"/>
                <wp:effectExtent l="19050" t="19050" r="19050" b="22860"/>
                <wp:wrapNone/>
                <wp:docPr id="26" name="חץ למעלה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20040"/>
                        </a:xfrm>
                        <a:prstGeom prst="up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חץ למעלה 26" o:spid="_x0000_s1026" type="#_x0000_t68" style="position:absolute;left:0;text-align:left;margin-left:100.7pt;margin-top:24pt;width:12pt;height:25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" adj="5143" fillcolor="#c0504d [3205]" strokecolor="#943634 [2405]" strokeweight="2pt"/>
            </w:pict>
          </mc:Fallback>
        </mc:AlternateContent>
      </w:r>
      <w:r w:rsidR="00344BA2" w:rsidRPr="00344BA2">
        <w:rPr>
          <w:rFonts w:cs="David"/>
          <w:b/>
          <w:bCs/>
          <w:noProof/>
          <w:color w:val="0000FF"/>
          <w:kern w:val="28"/>
          <w:sz w:val="28"/>
          <w:szCs w:val="28"/>
          <w:rtl/>
          <w:lang w:eastAsia="en-US"/>
        </w:rPr>
        <w:drawing>
          <wp:inline distT="0" distB="0" distL="0" distR="0" wp14:anchorId="33A8CC9C" wp14:editId="2364A668">
            <wp:extent cx="5486400" cy="1482725"/>
            <wp:effectExtent l="0" t="0" r="0" b="3175"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BA2" w:rsidRDefault="00344BA2" w:rsidP="00344BA2">
      <w:pPr>
        <w:bidi/>
        <w:spacing w:line="360" w:lineRule="auto"/>
        <w:jc w:val="both"/>
        <w:rPr>
          <w:rFonts w:cs="David"/>
          <w:b/>
          <w:bCs/>
          <w:color w:val="0000FF"/>
          <w:kern w:val="28"/>
          <w:sz w:val="28"/>
          <w:szCs w:val="28"/>
          <w:rtl/>
        </w:rPr>
      </w:pPr>
    </w:p>
    <w:p w:rsidR="00232D9B" w:rsidRPr="008D349F" w:rsidRDefault="00BF54DA" w:rsidP="00344BA2">
      <w:pPr>
        <w:bidi/>
        <w:spacing w:line="360" w:lineRule="auto"/>
        <w:jc w:val="both"/>
        <w:rPr>
          <w:rFonts w:cs="David"/>
          <w:b/>
          <w:bCs/>
          <w:color w:val="0000FF"/>
          <w:kern w:val="28"/>
          <w:rtl/>
        </w:rPr>
      </w:pPr>
      <w:r w:rsidRPr="008D349F">
        <w:rPr>
          <w:rFonts w:cs="David"/>
          <w:b/>
          <w:bCs/>
          <w:color w:val="0000FF"/>
          <w:kern w:val="28"/>
        </w:rPr>
        <w:t xml:space="preserve"> </w:t>
      </w:r>
      <w:r w:rsidRPr="008D349F">
        <w:rPr>
          <w:rFonts w:cs="David" w:hint="cs"/>
          <w:b/>
          <w:bCs/>
          <w:color w:val="0000FF"/>
          <w:kern w:val="28"/>
        </w:rPr>
        <w:sym w:font="Wingdings 3" w:char="F074"/>
      </w:r>
      <w:r w:rsidR="00232D9B" w:rsidRPr="008D349F">
        <w:rPr>
          <w:rFonts w:cs="David" w:hint="cs"/>
          <w:b/>
          <w:bCs/>
          <w:color w:val="0000FF"/>
          <w:kern w:val="28"/>
          <w:rtl/>
        </w:rPr>
        <w:t>סיכום</w:t>
      </w:r>
    </w:p>
    <w:p w:rsidR="00F3026E" w:rsidRPr="008D349F" w:rsidRDefault="00F3026E" w:rsidP="001E0BA3">
      <w:pPr>
        <w:widowControl/>
        <w:numPr>
          <w:ilvl w:val="0"/>
          <w:numId w:val="4"/>
        </w:numPr>
        <w:suppressAutoHyphens w:val="0"/>
        <w:bidi/>
        <w:spacing w:after="200" w:line="360" w:lineRule="auto"/>
        <w:ind w:left="466" w:hanging="425"/>
        <w:contextualSpacing/>
        <w:jc w:val="both"/>
        <w:rPr>
          <w:rFonts w:cs="David"/>
          <w:rtl/>
        </w:rPr>
      </w:pPr>
      <w:r w:rsidRPr="008D349F">
        <w:rPr>
          <w:rFonts w:cs="David" w:hint="cs"/>
          <w:rtl/>
        </w:rPr>
        <w:t>סרטן השד הוא המחלה הממאירה השכיחה ביותר בנשים בישראל (יהודיות, ערביות, "אחרות")</w:t>
      </w:r>
      <w:r w:rsidR="001E0BA3">
        <w:rPr>
          <w:rFonts w:cs="David" w:hint="cs"/>
          <w:rtl/>
        </w:rPr>
        <w:t>;</w:t>
      </w:r>
      <w:r w:rsidRPr="008D349F">
        <w:rPr>
          <w:rFonts w:cs="David" w:hint="cs"/>
          <w:rtl/>
        </w:rPr>
        <w:t xml:space="preserve"> </w:t>
      </w:r>
      <w:r w:rsidR="001E0BA3">
        <w:rPr>
          <w:rFonts w:cs="David" w:hint="cs"/>
          <w:rtl/>
        </w:rPr>
        <w:t xml:space="preserve">סרטן השד </w:t>
      </w:r>
      <w:r w:rsidRPr="008D349F">
        <w:rPr>
          <w:rFonts w:cs="David" w:hint="cs"/>
          <w:rtl/>
        </w:rPr>
        <w:t>אחראי לכשליש ממקרי הסרטן החדשים בכלל הנשים. בשנת 2015 אובחנו כ- 5,500 חולות חדשות עם גידול בשד: כ- 4,800 עם גידול חודרני וכ-630 עם גידול ממוקד.</w:t>
      </w:r>
    </w:p>
    <w:p w:rsidR="00F3026E" w:rsidRPr="008D349F" w:rsidRDefault="00F3026E" w:rsidP="00F3026E">
      <w:pPr>
        <w:widowControl/>
        <w:numPr>
          <w:ilvl w:val="0"/>
          <w:numId w:val="4"/>
        </w:numPr>
        <w:suppressAutoHyphens w:val="0"/>
        <w:bidi/>
        <w:spacing w:after="200" w:line="360" w:lineRule="auto"/>
        <w:ind w:left="466" w:hanging="425"/>
        <w:contextualSpacing/>
        <w:jc w:val="both"/>
        <w:rPr>
          <w:rFonts w:cs="David"/>
          <w:rtl/>
        </w:rPr>
      </w:pPr>
      <w:r w:rsidRPr="008D349F">
        <w:rPr>
          <w:rFonts w:cs="David" w:hint="cs"/>
          <w:rtl/>
        </w:rPr>
        <w:t>עיקר התחלואה היא בנשים מעל גיל 50; הסיכון הגבוה ביותר נצפה בנשים בקבוצות הגיל המבוגרות, והוא גבוה יותר ביהודיות בהשוואה לערביות.</w:t>
      </w:r>
    </w:p>
    <w:p w:rsidR="00F3026E" w:rsidRPr="008D349F" w:rsidRDefault="00F3026E" w:rsidP="001E0BA3">
      <w:pPr>
        <w:widowControl/>
        <w:numPr>
          <w:ilvl w:val="0"/>
          <w:numId w:val="4"/>
        </w:numPr>
        <w:suppressAutoHyphens w:val="0"/>
        <w:bidi/>
        <w:spacing w:after="200" w:line="360" w:lineRule="auto"/>
        <w:ind w:left="466" w:hanging="425"/>
        <w:contextualSpacing/>
        <w:jc w:val="both"/>
        <w:rPr>
          <w:rFonts w:cs="David"/>
        </w:rPr>
      </w:pPr>
      <w:r w:rsidRPr="008D349F">
        <w:rPr>
          <w:rFonts w:cs="David" w:hint="cs"/>
          <w:rtl/>
        </w:rPr>
        <w:t xml:space="preserve">המגמה העיתית </w:t>
      </w:r>
      <w:r w:rsidR="001E0BA3">
        <w:rPr>
          <w:rFonts w:cs="David" w:hint="cs"/>
          <w:rtl/>
        </w:rPr>
        <w:t>ב</w:t>
      </w:r>
      <w:r w:rsidRPr="008D349F">
        <w:rPr>
          <w:rFonts w:cs="David" w:hint="cs"/>
          <w:rtl/>
        </w:rPr>
        <w:t xml:space="preserve">היארעות </w:t>
      </w:r>
      <w:r w:rsidR="001E0BA3">
        <w:rPr>
          <w:rFonts w:cs="David" w:hint="cs"/>
          <w:rtl/>
        </w:rPr>
        <w:t xml:space="preserve">של </w:t>
      </w:r>
      <w:r w:rsidRPr="008D349F">
        <w:rPr>
          <w:rFonts w:cs="David" w:hint="cs"/>
          <w:rtl/>
        </w:rPr>
        <w:t xml:space="preserve">סרטן חודרני של השד בקרב יהודיות הייתה יציבה בשנים 1980-1985, לאחר מכן, בשנים 1985-1990, נצפתה עלייה מובהקת בהיארעות ואילו בשנים 1990-2015 המגמה שוב התייצבה; בקרב ערביות נצפתה עלייה מובהקת בהיארעות לאורך כל התקופה, בקצב מהיר בין 1980-2002, ובקצב מתון יותר בין 2002-2015. </w:t>
      </w:r>
    </w:p>
    <w:p w:rsidR="00F3026E" w:rsidRPr="008D349F" w:rsidRDefault="00F3026E" w:rsidP="001E0BA3">
      <w:pPr>
        <w:widowControl/>
        <w:numPr>
          <w:ilvl w:val="0"/>
          <w:numId w:val="4"/>
        </w:numPr>
        <w:suppressAutoHyphens w:val="0"/>
        <w:bidi/>
        <w:spacing w:after="200" w:line="360" w:lineRule="auto"/>
        <w:ind w:left="466" w:hanging="425"/>
        <w:contextualSpacing/>
        <w:jc w:val="both"/>
        <w:rPr>
          <w:rFonts w:cs="David"/>
        </w:rPr>
      </w:pPr>
      <w:r w:rsidRPr="008D349F">
        <w:rPr>
          <w:rFonts w:cs="David" w:hint="cs"/>
          <w:rtl/>
        </w:rPr>
        <w:t xml:space="preserve"> המגמה העיתית </w:t>
      </w:r>
      <w:r w:rsidR="001E0BA3">
        <w:rPr>
          <w:rFonts w:cs="David" w:hint="cs"/>
          <w:rtl/>
        </w:rPr>
        <w:t>ב</w:t>
      </w:r>
      <w:r w:rsidRPr="008D349F">
        <w:rPr>
          <w:rFonts w:cs="David" w:hint="cs"/>
          <w:rtl/>
        </w:rPr>
        <w:t xml:space="preserve">היארעות </w:t>
      </w:r>
      <w:r w:rsidR="001E0BA3" w:rsidRPr="008D349F">
        <w:rPr>
          <w:rFonts w:cs="David" w:hint="cs"/>
          <w:rtl/>
        </w:rPr>
        <w:t xml:space="preserve">של </w:t>
      </w:r>
      <w:r w:rsidRPr="008D349F">
        <w:rPr>
          <w:rFonts w:cs="David" w:hint="cs"/>
          <w:rtl/>
        </w:rPr>
        <w:t>סרטן ממוקד של השד בקרב יהודיות הייתה יציבה בשנים 1980-1985, לאחר מכן נצפתה עלייה מובהקת, תחילה בקצב מהיר (1985-1990</w:t>
      </w:r>
      <w:r w:rsidR="00347B5B">
        <w:rPr>
          <w:rFonts w:cs="David" w:hint="cs"/>
          <w:rtl/>
        </w:rPr>
        <w:t xml:space="preserve">), שהואט בהמשך (1990-2000) והפך, כצפוי בעת הפעלת תכנית לגילוי מוקדם, </w:t>
      </w:r>
      <w:r w:rsidRPr="008D349F">
        <w:rPr>
          <w:rFonts w:cs="David" w:hint="cs"/>
          <w:rtl/>
        </w:rPr>
        <w:t xml:space="preserve">איטי </w:t>
      </w:r>
      <w:r w:rsidR="001E0BA3" w:rsidRPr="008D349F">
        <w:rPr>
          <w:rFonts w:cs="David" w:hint="cs"/>
          <w:rtl/>
        </w:rPr>
        <w:t xml:space="preserve">עוד יותר </w:t>
      </w:r>
      <w:r w:rsidRPr="008D349F">
        <w:rPr>
          <w:rFonts w:cs="David" w:hint="cs"/>
          <w:rtl/>
        </w:rPr>
        <w:t xml:space="preserve">בשנים 2000-2015. בערביות נבחנה המגמה העתית רק מאז 1990, ונצפתה עלייה מובהקת בשנים 1990-2006, ולאחר מכן התייצבות.   </w:t>
      </w:r>
    </w:p>
    <w:p w:rsidR="00F3026E" w:rsidRPr="008D349F" w:rsidRDefault="00F3026E" w:rsidP="00F3026E">
      <w:pPr>
        <w:widowControl/>
        <w:numPr>
          <w:ilvl w:val="0"/>
          <w:numId w:val="4"/>
        </w:numPr>
        <w:suppressAutoHyphens w:val="0"/>
        <w:bidi/>
        <w:spacing w:after="200" w:line="360" w:lineRule="auto"/>
        <w:ind w:left="466" w:hanging="425"/>
        <w:contextualSpacing/>
        <w:jc w:val="both"/>
        <w:rPr>
          <w:rFonts w:cs="David"/>
        </w:rPr>
      </w:pPr>
      <w:r w:rsidRPr="008D349F">
        <w:rPr>
          <w:rFonts w:cs="David" w:hint="cs"/>
          <w:rtl/>
        </w:rPr>
        <w:lastRenderedPageBreak/>
        <w:t>ההישרדות היחסית לחמש שנים מסרטן השד בישראל בקרב נשים שאובחנו בתקופה 2005-2009 גבוהה יחסית: 89.7% בקרב יהודיות ו-84.4% בקרב ערביות.</w:t>
      </w:r>
    </w:p>
    <w:p w:rsidR="00F3026E" w:rsidRPr="008473E7" w:rsidRDefault="00F3026E" w:rsidP="00F3026E">
      <w:pPr>
        <w:widowControl/>
        <w:numPr>
          <w:ilvl w:val="0"/>
          <w:numId w:val="4"/>
        </w:numPr>
        <w:suppressAutoHyphens w:val="0"/>
        <w:bidi/>
        <w:spacing w:after="200" w:line="360" w:lineRule="auto"/>
        <w:ind w:left="466" w:hanging="425"/>
        <w:contextualSpacing/>
        <w:jc w:val="both"/>
        <w:rPr>
          <w:rFonts w:cs="David"/>
        </w:rPr>
      </w:pPr>
      <w:r w:rsidRPr="008473E7">
        <w:rPr>
          <w:rFonts w:cs="David" w:hint="cs"/>
          <w:rtl/>
        </w:rPr>
        <w:t>בשנת 2015 נפטרו מסרטן חודרני של השד כ-1,000 נשים בישראל. זהו הגורם השכיח ביותר לתמותה מסרטן בקרב נשים: כשישית מכלל התמותה מסרטן בנשים יהודיות, כרבע מכלל התמותה מסרטן בקרב נשים ערביות וכחמישית מכלל התמותה מסרטן בקרב נשים "אחרות". עיקר התמותה הוא בנשים בקבוצות הגיל המבוגרות.</w:t>
      </w:r>
    </w:p>
    <w:p w:rsidR="00F3026E" w:rsidRPr="008D349F" w:rsidRDefault="00F3026E" w:rsidP="008473E7">
      <w:pPr>
        <w:widowControl/>
        <w:numPr>
          <w:ilvl w:val="0"/>
          <w:numId w:val="4"/>
        </w:numPr>
        <w:suppressAutoHyphens w:val="0"/>
        <w:bidi/>
        <w:spacing w:after="200" w:line="360" w:lineRule="auto"/>
        <w:ind w:left="466" w:hanging="425"/>
        <w:contextualSpacing/>
        <w:jc w:val="both"/>
        <w:rPr>
          <w:rFonts w:cs="David"/>
        </w:rPr>
      </w:pPr>
      <w:r w:rsidRPr="008D349F">
        <w:rPr>
          <w:rFonts w:cs="David" w:hint="cs"/>
          <w:rtl/>
        </w:rPr>
        <w:t xml:space="preserve">בקרב יהודיות, המגמה העיתית של תמותה מסרטן חודרני של השד בתקופה 1980-2014 הייתה במגמת עלייה קלה בשנים 1980-1995. מאז 1995 נצפית מגמת ירידה מובהקת בתמותה מסרטן השד. </w:t>
      </w:r>
      <w:r w:rsidR="008473E7" w:rsidRPr="008473E7">
        <w:rPr>
          <w:rFonts w:cs="David" w:hint="cs"/>
          <w:b/>
          <w:bCs/>
          <w:rtl/>
        </w:rPr>
        <w:t>במצטבר, מאז 2005 הירידה בתמותה מסרטן השד בנשים יהודיות היא של כ-25%.</w:t>
      </w:r>
      <w:r w:rsidR="008473E7">
        <w:rPr>
          <w:rFonts w:cs="David" w:hint="cs"/>
          <w:rtl/>
        </w:rPr>
        <w:t xml:space="preserve"> </w:t>
      </w:r>
      <w:r w:rsidRPr="008D349F">
        <w:rPr>
          <w:rFonts w:cs="David" w:hint="cs"/>
          <w:rtl/>
        </w:rPr>
        <w:t>בקרב ערביות, נצפתה מגמת עלייה מובהקת לאורך כל התקופה 19</w:t>
      </w:r>
      <w:r w:rsidR="001E0BA3">
        <w:rPr>
          <w:rFonts w:cs="David" w:hint="cs"/>
          <w:rtl/>
        </w:rPr>
        <w:t>8</w:t>
      </w:r>
      <w:r w:rsidRPr="008D349F">
        <w:rPr>
          <w:rFonts w:cs="David" w:hint="cs"/>
          <w:rtl/>
        </w:rPr>
        <w:t>0-2015. זאת במקביל לעלייה מובהקת בהיארעות בתקופה 1980-201</w:t>
      </w:r>
      <w:r w:rsidR="001E0BA3">
        <w:rPr>
          <w:rFonts w:cs="David" w:hint="cs"/>
          <w:rtl/>
        </w:rPr>
        <w:t>5</w:t>
      </w:r>
      <w:r w:rsidRPr="008D349F">
        <w:rPr>
          <w:rFonts w:cs="David" w:hint="cs"/>
          <w:rtl/>
        </w:rPr>
        <w:t xml:space="preserve">. </w:t>
      </w:r>
    </w:p>
    <w:p w:rsidR="00A901F3" w:rsidRPr="008D349F" w:rsidRDefault="00F3026E" w:rsidP="00F3026E">
      <w:pPr>
        <w:widowControl/>
        <w:numPr>
          <w:ilvl w:val="0"/>
          <w:numId w:val="4"/>
        </w:numPr>
        <w:suppressAutoHyphens w:val="0"/>
        <w:bidi/>
        <w:spacing w:after="200" w:line="360" w:lineRule="auto"/>
        <w:ind w:left="466" w:hanging="425"/>
        <w:contextualSpacing/>
        <w:jc w:val="both"/>
        <w:rPr>
          <w:rFonts w:cs="David"/>
        </w:rPr>
      </w:pPr>
      <w:r w:rsidRPr="008D349F">
        <w:rPr>
          <w:rFonts w:cs="David" w:hint="cs"/>
          <w:rtl/>
        </w:rPr>
        <w:t>בהשוואה למדינות ה-</w:t>
      </w:r>
      <w:r w:rsidRPr="008D349F">
        <w:rPr>
          <w:rFonts w:cs="David"/>
        </w:rPr>
        <w:t>OECD</w:t>
      </w:r>
      <w:r w:rsidRPr="008D349F">
        <w:rPr>
          <w:rFonts w:cs="David" w:hint="cs"/>
          <w:rtl/>
        </w:rPr>
        <w:t>, בישראל שיעור ההיארעות, שיעור התמותה, אבל גם שיעור ביצוע ממוגרפיה לגילוי מוקדם של סרטן השד ו</w:t>
      </w:r>
      <w:r w:rsidR="001E0BA3">
        <w:rPr>
          <w:rFonts w:cs="David" w:hint="cs"/>
          <w:rtl/>
        </w:rPr>
        <w:t xml:space="preserve">גם שיעור </w:t>
      </w:r>
      <w:r w:rsidRPr="008D349F">
        <w:rPr>
          <w:rFonts w:cs="David" w:hint="cs"/>
          <w:rtl/>
        </w:rPr>
        <w:t xml:space="preserve">ההישרדות </w:t>
      </w:r>
      <w:r w:rsidR="001E0BA3">
        <w:rPr>
          <w:rFonts w:cs="David" w:hint="cs"/>
          <w:rtl/>
        </w:rPr>
        <w:t xml:space="preserve">היחסי </w:t>
      </w:r>
      <w:r w:rsidRPr="008D349F">
        <w:rPr>
          <w:rFonts w:cs="David" w:hint="cs"/>
          <w:rtl/>
        </w:rPr>
        <w:t>לחמש שנים מהמחלה, גבוהים מהממוצע.</w:t>
      </w:r>
    </w:p>
    <w:sectPr w:rsidR="00A901F3" w:rsidRPr="008D349F" w:rsidSect="009018D0">
      <w:headerReference w:type="default" r:id="rId20"/>
      <w:footerReference w:type="default" r:id="rId21"/>
      <w:pgSz w:w="11906" w:h="16838"/>
      <w:pgMar w:top="1440" w:right="1800" w:bottom="1440" w:left="1418" w:header="708" w:footer="708" w:gutter="0"/>
      <w:pgBorders w:offsetFrom="page">
        <w:top w:val="tornPaperBlack" w:sz="31" w:space="24" w:color="0000FF"/>
        <w:left w:val="tornPaperBlack" w:sz="31" w:space="24" w:color="0000FF"/>
        <w:bottom w:val="tornPaperBlack" w:sz="31" w:space="24" w:color="0000FF"/>
        <w:right w:val="tornPaperBlack" w:sz="31" w:space="24" w:color="0000F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C8D" w:rsidRDefault="00E97C8D" w:rsidP="00A617D7">
      <w:r>
        <w:separator/>
      </w:r>
    </w:p>
  </w:endnote>
  <w:endnote w:type="continuationSeparator" w:id="0">
    <w:p w:rsidR="00E97C8D" w:rsidRDefault="00E97C8D" w:rsidP="00A6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674444"/>
      <w:docPartObj>
        <w:docPartGallery w:val="Page Numbers (Bottom of Page)"/>
        <w:docPartUnique/>
      </w:docPartObj>
    </w:sdtPr>
    <w:sdtEndPr>
      <w:rPr>
        <w:cs/>
      </w:rPr>
    </w:sdtEndPr>
    <w:sdtContent>
      <w:p w:rsidR="002B28EC" w:rsidRDefault="002B28EC">
        <w:pPr>
          <w:pStyle w:val="aa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1C70CD" w:rsidRPr="001C70CD">
          <w:rPr>
            <w:noProof/>
            <w:lang w:val="he-IL"/>
          </w:rPr>
          <w:t>1</w:t>
        </w:r>
        <w:r>
          <w:fldChar w:fldCharType="end"/>
        </w:r>
      </w:p>
    </w:sdtContent>
  </w:sdt>
  <w:p w:rsidR="00474169" w:rsidRDefault="0047416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C8D" w:rsidRDefault="00E97C8D" w:rsidP="00A617D7">
      <w:r>
        <w:separator/>
      </w:r>
    </w:p>
  </w:footnote>
  <w:footnote w:type="continuationSeparator" w:id="0">
    <w:p w:rsidR="00E97C8D" w:rsidRDefault="00E97C8D" w:rsidP="00A617D7">
      <w:r>
        <w:continuationSeparator/>
      </w:r>
    </w:p>
  </w:footnote>
  <w:footnote w:id="1">
    <w:p w:rsidR="00853C88" w:rsidRDefault="00853C88" w:rsidP="00853C88">
      <w:pPr>
        <w:pStyle w:val="a3"/>
        <w:bidi/>
        <w:rPr>
          <w:rtl/>
        </w:rPr>
      </w:pPr>
      <w:r>
        <w:rPr>
          <w:rStyle w:val="a5"/>
        </w:rPr>
        <w:footnoteRef/>
      </w:r>
      <w:r>
        <w:t xml:space="preserve"> </w:t>
      </w:r>
      <w:r>
        <w:rPr>
          <w:rFonts w:hint="cs"/>
          <w:rtl/>
        </w:rPr>
        <w:t xml:space="preserve"> ד"ר ברברה סילברמן, גב' ריטה דיכטיאר, גב' יהודית פישלר, פרופ' ליטל קינן בוקר</w:t>
      </w:r>
    </w:p>
  </w:footnote>
  <w:footnote w:id="2">
    <w:p w:rsidR="002B2B60" w:rsidRDefault="002B2B60" w:rsidP="002B2B60">
      <w:pPr>
        <w:pStyle w:val="a3"/>
        <w:bidi/>
        <w:rPr>
          <w:rtl/>
        </w:rPr>
      </w:pPr>
      <w:r>
        <w:rPr>
          <w:rStyle w:val="a5"/>
        </w:rPr>
        <w:footnoteRef/>
      </w:r>
      <w:r>
        <w:t xml:space="preserve"> </w:t>
      </w:r>
      <w:r>
        <w:rPr>
          <w:rFonts w:hint="cs"/>
          <w:rtl/>
        </w:rPr>
        <w:t xml:space="preserve"> "אחרות" = </w:t>
      </w:r>
      <w:r w:rsidRPr="002B2B60">
        <w:rPr>
          <w:rtl/>
        </w:rPr>
        <w:t>נוצריות שאינן ערביות וכאלה ללא סיווג דת</w:t>
      </w:r>
    </w:p>
  </w:footnote>
  <w:footnote w:id="3">
    <w:p w:rsidR="00474169" w:rsidRDefault="00474169" w:rsidP="00A617D7">
      <w:pPr>
        <w:pStyle w:val="a3"/>
        <w:bidi/>
        <w:rPr>
          <w:rtl/>
        </w:rPr>
      </w:pPr>
      <w:r>
        <w:rPr>
          <w:rStyle w:val="a5"/>
        </w:rPr>
        <w:footnoteRef/>
      </w:r>
      <w:r>
        <w:t xml:space="preserve"> </w:t>
      </w:r>
      <w:r>
        <w:rPr>
          <w:rFonts w:hint="cs"/>
          <w:rtl/>
        </w:rPr>
        <w:t xml:space="preserve"> לפי אוכלוסיית העולם</w:t>
      </w:r>
    </w:p>
  </w:footnote>
  <w:footnote w:id="4">
    <w:p w:rsidR="00703BC0" w:rsidRPr="00703BC0" w:rsidRDefault="00703BC0" w:rsidP="00703BC0">
      <w:pPr>
        <w:pStyle w:val="a3"/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Style w:val="a5"/>
        </w:rPr>
        <w:footnoteRef/>
      </w:r>
      <w:r>
        <w:rPr>
          <w:rFonts w:hint="cs"/>
          <w:rtl/>
        </w:rPr>
        <w:t xml:space="preserve"> המגמות העתיות לא נבחנו לגבי "אחרות" בגלל חוסר בנתונים עבור השנים המוקדמות יותר.</w:t>
      </w:r>
      <w:r>
        <w:t xml:space="preserve"> </w:t>
      </w:r>
    </w:p>
  </w:footnote>
  <w:footnote w:id="5">
    <w:p w:rsidR="00B00D6F" w:rsidRPr="00B00D6F" w:rsidRDefault="00B00D6F" w:rsidP="00B00D6F">
      <w:pPr>
        <w:pStyle w:val="a3"/>
        <w:rPr>
          <w:rtl/>
          <w:lang w:val="en-US"/>
        </w:rPr>
      </w:pPr>
      <w:r>
        <w:rPr>
          <w:rStyle w:val="a5"/>
        </w:rPr>
        <w:footnoteRef/>
      </w:r>
      <w:r>
        <w:t xml:space="preserve"> </w:t>
      </w:r>
      <w:r>
        <w:rPr>
          <w:lang w:val="en-US"/>
        </w:rPr>
        <w:t xml:space="preserve">OECD iLibrary: Health at a Glance 2015. </w:t>
      </w:r>
    </w:p>
  </w:footnote>
  <w:footnote w:id="6">
    <w:p w:rsidR="00843254" w:rsidRPr="00843254" w:rsidRDefault="00843254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843254">
        <w:rPr>
          <w:lang w:val="en-US"/>
        </w:rPr>
        <w:t>http://www.oecd-ilibrary.org/social-issues-migration-health/health-at-a-glance-2017/screening-survival-and-mortality-for-breast-cancer_health_glance-2017-40-en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69" w:rsidRPr="00633859" w:rsidRDefault="00474169" w:rsidP="00633859">
    <w:pPr>
      <w:pStyle w:val="a8"/>
      <w:jc w:val="center"/>
    </w:pPr>
    <w:r>
      <w:rPr>
        <w:rFonts w:ascii="Arial" w:hAnsi="Arial" w:cs="Arial"/>
        <w:noProof/>
        <w:color w:val="800080"/>
        <w:lang w:val="en-US" w:eastAsia="en-US"/>
      </w:rPr>
      <w:drawing>
        <wp:inline distT="0" distB="0" distL="0" distR="0" wp14:anchorId="0A764A62" wp14:editId="77105ACE">
          <wp:extent cx="1866900" cy="619125"/>
          <wp:effectExtent l="0" t="0" r="0" b="9525"/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4A86"/>
    <w:multiLevelType w:val="hybridMultilevel"/>
    <w:tmpl w:val="7844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64ECD"/>
    <w:multiLevelType w:val="hybridMultilevel"/>
    <w:tmpl w:val="A4BE967A"/>
    <w:lvl w:ilvl="0" w:tplc="86DE820A">
      <w:start w:val="1"/>
      <w:numFmt w:val="bullet"/>
      <w:lvlText w:val="t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37230"/>
    <w:multiLevelType w:val="hybridMultilevel"/>
    <w:tmpl w:val="FA486142"/>
    <w:lvl w:ilvl="0" w:tplc="2E82BE6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E3074"/>
    <w:multiLevelType w:val="hybridMultilevel"/>
    <w:tmpl w:val="31B2BF70"/>
    <w:lvl w:ilvl="0" w:tplc="0742E188">
      <w:start w:val="1"/>
      <w:numFmt w:val="bullet"/>
      <w:lvlText w:val="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D7"/>
    <w:rsid w:val="00006046"/>
    <w:rsid w:val="00007774"/>
    <w:rsid w:val="0001544F"/>
    <w:rsid w:val="00015B56"/>
    <w:rsid w:val="00016314"/>
    <w:rsid w:val="00023A8B"/>
    <w:rsid w:val="000302CE"/>
    <w:rsid w:val="00042351"/>
    <w:rsid w:val="000428A8"/>
    <w:rsid w:val="000439FD"/>
    <w:rsid w:val="000475C1"/>
    <w:rsid w:val="00053FF2"/>
    <w:rsid w:val="00061D24"/>
    <w:rsid w:val="0006525C"/>
    <w:rsid w:val="00077981"/>
    <w:rsid w:val="00077AE7"/>
    <w:rsid w:val="00080E32"/>
    <w:rsid w:val="00083C83"/>
    <w:rsid w:val="00091511"/>
    <w:rsid w:val="000959BD"/>
    <w:rsid w:val="000A1408"/>
    <w:rsid w:val="000A63FE"/>
    <w:rsid w:val="000A67F0"/>
    <w:rsid w:val="000A691C"/>
    <w:rsid w:val="000B7B65"/>
    <w:rsid w:val="000C1C61"/>
    <w:rsid w:val="000C78A3"/>
    <w:rsid w:val="000D3964"/>
    <w:rsid w:val="000E095A"/>
    <w:rsid w:val="000E2F85"/>
    <w:rsid w:val="000E42D4"/>
    <w:rsid w:val="000F7C12"/>
    <w:rsid w:val="00103190"/>
    <w:rsid w:val="00103E0D"/>
    <w:rsid w:val="0011053B"/>
    <w:rsid w:val="001107FB"/>
    <w:rsid w:val="0011094D"/>
    <w:rsid w:val="00113842"/>
    <w:rsid w:val="00117243"/>
    <w:rsid w:val="00120B5A"/>
    <w:rsid w:val="001332B2"/>
    <w:rsid w:val="001437AC"/>
    <w:rsid w:val="001671B4"/>
    <w:rsid w:val="001914C6"/>
    <w:rsid w:val="001B19BD"/>
    <w:rsid w:val="001B4045"/>
    <w:rsid w:val="001C5BD4"/>
    <w:rsid w:val="001C70CD"/>
    <w:rsid w:val="001E0BA3"/>
    <w:rsid w:val="001E310D"/>
    <w:rsid w:val="001E43E7"/>
    <w:rsid w:val="001E6018"/>
    <w:rsid w:val="001F5EC4"/>
    <w:rsid w:val="00203022"/>
    <w:rsid w:val="00207157"/>
    <w:rsid w:val="00212E14"/>
    <w:rsid w:val="00220838"/>
    <w:rsid w:val="00232D9B"/>
    <w:rsid w:val="00236AE3"/>
    <w:rsid w:val="002407D4"/>
    <w:rsid w:val="00255F52"/>
    <w:rsid w:val="00257F8E"/>
    <w:rsid w:val="0026179F"/>
    <w:rsid w:val="00272EE9"/>
    <w:rsid w:val="00276994"/>
    <w:rsid w:val="002803CE"/>
    <w:rsid w:val="00290BE6"/>
    <w:rsid w:val="002A3619"/>
    <w:rsid w:val="002A64C8"/>
    <w:rsid w:val="002B28EC"/>
    <w:rsid w:val="002B2B60"/>
    <w:rsid w:val="002B511F"/>
    <w:rsid w:val="002C29B1"/>
    <w:rsid w:val="002C358C"/>
    <w:rsid w:val="002D6165"/>
    <w:rsid w:val="002E0630"/>
    <w:rsid w:val="002E4373"/>
    <w:rsid w:val="002E4F69"/>
    <w:rsid w:val="002F3A68"/>
    <w:rsid w:val="0030430E"/>
    <w:rsid w:val="003049E4"/>
    <w:rsid w:val="00310FC9"/>
    <w:rsid w:val="00317E4D"/>
    <w:rsid w:val="00320098"/>
    <w:rsid w:val="00322FA4"/>
    <w:rsid w:val="003343C3"/>
    <w:rsid w:val="0033570B"/>
    <w:rsid w:val="00344BA2"/>
    <w:rsid w:val="00344F5F"/>
    <w:rsid w:val="00346F6C"/>
    <w:rsid w:val="00347B5B"/>
    <w:rsid w:val="00352DBA"/>
    <w:rsid w:val="0035363C"/>
    <w:rsid w:val="003612B9"/>
    <w:rsid w:val="00362C5E"/>
    <w:rsid w:val="0037333F"/>
    <w:rsid w:val="00376503"/>
    <w:rsid w:val="00383248"/>
    <w:rsid w:val="003913C7"/>
    <w:rsid w:val="003918DE"/>
    <w:rsid w:val="0039444A"/>
    <w:rsid w:val="00394589"/>
    <w:rsid w:val="003A0668"/>
    <w:rsid w:val="003A0DB0"/>
    <w:rsid w:val="003B6929"/>
    <w:rsid w:val="003C2219"/>
    <w:rsid w:val="003C2615"/>
    <w:rsid w:val="003C3360"/>
    <w:rsid w:val="003C4D28"/>
    <w:rsid w:val="003C700A"/>
    <w:rsid w:val="003D0FDF"/>
    <w:rsid w:val="003D10FF"/>
    <w:rsid w:val="003D2A4F"/>
    <w:rsid w:val="003D44FD"/>
    <w:rsid w:val="003D6F67"/>
    <w:rsid w:val="003E1177"/>
    <w:rsid w:val="00406C4B"/>
    <w:rsid w:val="00422246"/>
    <w:rsid w:val="00431304"/>
    <w:rsid w:val="0043134A"/>
    <w:rsid w:val="00435620"/>
    <w:rsid w:val="00440EC6"/>
    <w:rsid w:val="00462BE3"/>
    <w:rsid w:val="00462FCF"/>
    <w:rsid w:val="00465D52"/>
    <w:rsid w:val="004715FB"/>
    <w:rsid w:val="00474169"/>
    <w:rsid w:val="0048014C"/>
    <w:rsid w:val="00484978"/>
    <w:rsid w:val="00486A1A"/>
    <w:rsid w:val="00492A62"/>
    <w:rsid w:val="004C3AD7"/>
    <w:rsid w:val="004D23F4"/>
    <w:rsid w:val="004E169F"/>
    <w:rsid w:val="004F6774"/>
    <w:rsid w:val="00512F30"/>
    <w:rsid w:val="005277F8"/>
    <w:rsid w:val="00546625"/>
    <w:rsid w:val="005467EB"/>
    <w:rsid w:val="0055261B"/>
    <w:rsid w:val="00554ED7"/>
    <w:rsid w:val="0056684C"/>
    <w:rsid w:val="00582358"/>
    <w:rsid w:val="00585DDD"/>
    <w:rsid w:val="00593E99"/>
    <w:rsid w:val="005A4DE3"/>
    <w:rsid w:val="005B1F9F"/>
    <w:rsid w:val="005B394B"/>
    <w:rsid w:val="005B39A3"/>
    <w:rsid w:val="005E0FF4"/>
    <w:rsid w:val="005E776E"/>
    <w:rsid w:val="005F67B2"/>
    <w:rsid w:val="006119E5"/>
    <w:rsid w:val="00614DBF"/>
    <w:rsid w:val="0061780A"/>
    <w:rsid w:val="006207F8"/>
    <w:rsid w:val="00633859"/>
    <w:rsid w:val="0063737C"/>
    <w:rsid w:val="00650CB3"/>
    <w:rsid w:val="00655B17"/>
    <w:rsid w:val="00661C43"/>
    <w:rsid w:val="00664398"/>
    <w:rsid w:val="00665A6A"/>
    <w:rsid w:val="0068468E"/>
    <w:rsid w:val="0068672D"/>
    <w:rsid w:val="00687901"/>
    <w:rsid w:val="006901DC"/>
    <w:rsid w:val="00690258"/>
    <w:rsid w:val="00692A71"/>
    <w:rsid w:val="00694476"/>
    <w:rsid w:val="006962FB"/>
    <w:rsid w:val="006B4D4E"/>
    <w:rsid w:val="006C23D0"/>
    <w:rsid w:val="006C4BC8"/>
    <w:rsid w:val="006D51BD"/>
    <w:rsid w:val="006D68FD"/>
    <w:rsid w:val="006E639C"/>
    <w:rsid w:val="006E6C73"/>
    <w:rsid w:val="006F14F1"/>
    <w:rsid w:val="006F5B2E"/>
    <w:rsid w:val="00703BC0"/>
    <w:rsid w:val="00711D71"/>
    <w:rsid w:val="0071217E"/>
    <w:rsid w:val="00714F98"/>
    <w:rsid w:val="0071741D"/>
    <w:rsid w:val="00717A1E"/>
    <w:rsid w:val="0072635F"/>
    <w:rsid w:val="00737EE7"/>
    <w:rsid w:val="00747368"/>
    <w:rsid w:val="0075267A"/>
    <w:rsid w:val="007535D3"/>
    <w:rsid w:val="00771050"/>
    <w:rsid w:val="00774A62"/>
    <w:rsid w:val="00784594"/>
    <w:rsid w:val="007855BE"/>
    <w:rsid w:val="00785F5E"/>
    <w:rsid w:val="0079190D"/>
    <w:rsid w:val="007B066A"/>
    <w:rsid w:val="007B36DF"/>
    <w:rsid w:val="007D458A"/>
    <w:rsid w:val="007E5397"/>
    <w:rsid w:val="007E726C"/>
    <w:rsid w:val="007E7D60"/>
    <w:rsid w:val="007F4CF6"/>
    <w:rsid w:val="008039E6"/>
    <w:rsid w:val="008050DF"/>
    <w:rsid w:val="00813285"/>
    <w:rsid w:val="00843254"/>
    <w:rsid w:val="00844A43"/>
    <w:rsid w:val="00845EFD"/>
    <w:rsid w:val="00846291"/>
    <w:rsid w:val="008473E7"/>
    <w:rsid w:val="0085082D"/>
    <w:rsid w:val="00853C88"/>
    <w:rsid w:val="00857C9A"/>
    <w:rsid w:val="00861BED"/>
    <w:rsid w:val="008671F2"/>
    <w:rsid w:val="0087469E"/>
    <w:rsid w:val="00886190"/>
    <w:rsid w:val="008917BE"/>
    <w:rsid w:val="00893059"/>
    <w:rsid w:val="008A0F88"/>
    <w:rsid w:val="008A565A"/>
    <w:rsid w:val="008A7B02"/>
    <w:rsid w:val="008B1AED"/>
    <w:rsid w:val="008B4B9E"/>
    <w:rsid w:val="008C6789"/>
    <w:rsid w:val="008D349F"/>
    <w:rsid w:val="008D3809"/>
    <w:rsid w:val="008D7C85"/>
    <w:rsid w:val="008D7E78"/>
    <w:rsid w:val="008F138F"/>
    <w:rsid w:val="008F422D"/>
    <w:rsid w:val="008F48AF"/>
    <w:rsid w:val="008F56F2"/>
    <w:rsid w:val="009018D0"/>
    <w:rsid w:val="0091603F"/>
    <w:rsid w:val="009164FB"/>
    <w:rsid w:val="00917EA4"/>
    <w:rsid w:val="00920C57"/>
    <w:rsid w:val="00926B8E"/>
    <w:rsid w:val="00940491"/>
    <w:rsid w:val="00940E4D"/>
    <w:rsid w:val="009423D6"/>
    <w:rsid w:val="00944D20"/>
    <w:rsid w:val="009504E1"/>
    <w:rsid w:val="00951B7F"/>
    <w:rsid w:val="009555D3"/>
    <w:rsid w:val="00957592"/>
    <w:rsid w:val="00960E68"/>
    <w:rsid w:val="00961476"/>
    <w:rsid w:val="00977192"/>
    <w:rsid w:val="0098408E"/>
    <w:rsid w:val="00990906"/>
    <w:rsid w:val="009916E2"/>
    <w:rsid w:val="009A2FE2"/>
    <w:rsid w:val="009B2520"/>
    <w:rsid w:val="009B5D59"/>
    <w:rsid w:val="009B77DB"/>
    <w:rsid w:val="009C6C95"/>
    <w:rsid w:val="009D5156"/>
    <w:rsid w:val="009D60F8"/>
    <w:rsid w:val="009E0B8C"/>
    <w:rsid w:val="009E5C8B"/>
    <w:rsid w:val="00A02783"/>
    <w:rsid w:val="00A02790"/>
    <w:rsid w:val="00A03AAB"/>
    <w:rsid w:val="00A10BD1"/>
    <w:rsid w:val="00A10FFB"/>
    <w:rsid w:val="00A13B70"/>
    <w:rsid w:val="00A21A77"/>
    <w:rsid w:val="00A303ED"/>
    <w:rsid w:val="00A526EA"/>
    <w:rsid w:val="00A617D7"/>
    <w:rsid w:val="00A618C4"/>
    <w:rsid w:val="00A657FE"/>
    <w:rsid w:val="00A70DED"/>
    <w:rsid w:val="00A7543A"/>
    <w:rsid w:val="00A77A53"/>
    <w:rsid w:val="00A81087"/>
    <w:rsid w:val="00A901F3"/>
    <w:rsid w:val="00A9207B"/>
    <w:rsid w:val="00A935EE"/>
    <w:rsid w:val="00A93804"/>
    <w:rsid w:val="00AA0DD0"/>
    <w:rsid w:val="00AA27B0"/>
    <w:rsid w:val="00AB0929"/>
    <w:rsid w:val="00AD7F6F"/>
    <w:rsid w:val="00AE01D4"/>
    <w:rsid w:val="00AE1562"/>
    <w:rsid w:val="00AE36B9"/>
    <w:rsid w:val="00AE41D2"/>
    <w:rsid w:val="00AF729B"/>
    <w:rsid w:val="00AF79B1"/>
    <w:rsid w:val="00B00D6F"/>
    <w:rsid w:val="00B2755E"/>
    <w:rsid w:val="00B32B5B"/>
    <w:rsid w:val="00B351D6"/>
    <w:rsid w:val="00B47495"/>
    <w:rsid w:val="00B54C0C"/>
    <w:rsid w:val="00B71B8D"/>
    <w:rsid w:val="00B80FF1"/>
    <w:rsid w:val="00B8260B"/>
    <w:rsid w:val="00B90030"/>
    <w:rsid w:val="00B90267"/>
    <w:rsid w:val="00B92A16"/>
    <w:rsid w:val="00B96BF7"/>
    <w:rsid w:val="00B96CDF"/>
    <w:rsid w:val="00BA05CD"/>
    <w:rsid w:val="00BA07DF"/>
    <w:rsid w:val="00BB3993"/>
    <w:rsid w:val="00BE7352"/>
    <w:rsid w:val="00BE7C27"/>
    <w:rsid w:val="00BF23BF"/>
    <w:rsid w:val="00BF4612"/>
    <w:rsid w:val="00BF54DA"/>
    <w:rsid w:val="00C01016"/>
    <w:rsid w:val="00C050A4"/>
    <w:rsid w:val="00C05566"/>
    <w:rsid w:val="00C05A77"/>
    <w:rsid w:val="00C13186"/>
    <w:rsid w:val="00C14C13"/>
    <w:rsid w:val="00C214CF"/>
    <w:rsid w:val="00C25B47"/>
    <w:rsid w:val="00C26FAE"/>
    <w:rsid w:val="00C32889"/>
    <w:rsid w:val="00C357B8"/>
    <w:rsid w:val="00C3644F"/>
    <w:rsid w:val="00C51070"/>
    <w:rsid w:val="00C54F2F"/>
    <w:rsid w:val="00C62666"/>
    <w:rsid w:val="00C6444F"/>
    <w:rsid w:val="00C64511"/>
    <w:rsid w:val="00C6481C"/>
    <w:rsid w:val="00C75D76"/>
    <w:rsid w:val="00C80F04"/>
    <w:rsid w:val="00CA0983"/>
    <w:rsid w:val="00CA130D"/>
    <w:rsid w:val="00CA57AC"/>
    <w:rsid w:val="00CB7F12"/>
    <w:rsid w:val="00CC562C"/>
    <w:rsid w:val="00CD45D8"/>
    <w:rsid w:val="00CE3068"/>
    <w:rsid w:val="00CE3DC3"/>
    <w:rsid w:val="00CE63CF"/>
    <w:rsid w:val="00CF1F75"/>
    <w:rsid w:val="00CF63BB"/>
    <w:rsid w:val="00D033BA"/>
    <w:rsid w:val="00D1323D"/>
    <w:rsid w:val="00D178E3"/>
    <w:rsid w:val="00D34316"/>
    <w:rsid w:val="00D51686"/>
    <w:rsid w:val="00D51E6B"/>
    <w:rsid w:val="00D551D1"/>
    <w:rsid w:val="00D63CEB"/>
    <w:rsid w:val="00D64DFD"/>
    <w:rsid w:val="00D711AD"/>
    <w:rsid w:val="00D83301"/>
    <w:rsid w:val="00D92747"/>
    <w:rsid w:val="00DA330C"/>
    <w:rsid w:val="00DB09B9"/>
    <w:rsid w:val="00DB0AC4"/>
    <w:rsid w:val="00DB6233"/>
    <w:rsid w:val="00DB7326"/>
    <w:rsid w:val="00DC4378"/>
    <w:rsid w:val="00DD1DF8"/>
    <w:rsid w:val="00DD488F"/>
    <w:rsid w:val="00DD6685"/>
    <w:rsid w:val="00DE1871"/>
    <w:rsid w:val="00DF7D0A"/>
    <w:rsid w:val="00E05B26"/>
    <w:rsid w:val="00E10C7C"/>
    <w:rsid w:val="00E15FCE"/>
    <w:rsid w:val="00E22235"/>
    <w:rsid w:val="00E32C02"/>
    <w:rsid w:val="00E379A0"/>
    <w:rsid w:val="00E56492"/>
    <w:rsid w:val="00E64ADC"/>
    <w:rsid w:val="00E7063B"/>
    <w:rsid w:val="00E77366"/>
    <w:rsid w:val="00E77AFE"/>
    <w:rsid w:val="00E82817"/>
    <w:rsid w:val="00E82F2B"/>
    <w:rsid w:val="00E92D7F"/>
    <w:rsid w:val="00E97C8D"/>
    <w:rsid w:val="00EA1982"/>
    <w:rsid w:val="00EA4924"/>
    <w:rsid w:val="00EB039B"/>
    <w:rsid w:val="00EB10A3"/>
    <w:rsid w:val="00EC208F"/>
    <w:rsid w:val="00EC2CAF"/>
    <w:rsid w:val="00EC32BD"/>
    <w:rsid w:val="00EC4664"/>
    <w:rsid w:val="00EC7F21"/>
    <w:rsid w:val="00ED6B7E"/>
    <w:rsid w:val="00EF0F8B"/>
    <w:rsid w:val="00EF3842"/>
    <w:rsid w:val="00EF4F6A"/>
    <w:rsid w:val="00F0075B"/>
    <w:rsid w:val="00F04322"/>
    <w:rsid w:val="00F05FDE"/>
    <w:rsid w:val="00F11410"/>
    <w:rsid w:val="00F174BD"/>
    <w:rsid w:val="00F3026E"/>
    <w:rsid w:val="00F36A94"/>
    <w:rsid w:val="00F42DEB"/>
    <w:rsid w:val="00F519A8"/>
    <w:rsid w:val="00F61019"/>
    <w:rsid w:val="00F647CB"/>
    <w:rsid w:val="00F64BC1"/>
    <w:rsid w:val="00F84F91"/>
    <w:rsid w:val="00F9032A"/>
    <w:rsid w:val="00F926F1"/>
    <w:rsid w:val="00FA58BE"/>
    <w:rsid w:val="00FA5C96"/>
    <w:rsid w:val="00FA631F"/>
    <w:rsid w:val="00FB0219"/>
    <w:rsid w:val="00FB08BA"/>
    <w:rsid w:val="00FC01BC"/>
    <w:rsid w:val="00FC3633"/>
    <w:rsid w:val="00FC7057"/>
    <w:rsid w:val="00FD1471"/>
    <w:rsid w:val="00FD43DA"/>
    <w:rsid w:val="00FD457D"/>
    <w:rsid w:val="00FE2317"/>
    <w:rsid w:val="00FE246C"/>
    <w:rsid w:val="00FE3963"/>
    <w:rsid w:val="00FE3FB6"/>
    <w:rsid w:val="00FF1980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F1"/>
    <w:pPr>
      <w:widowControl w:val="0"/>
      <w:suppressAutoHyphens/>
    </w:pPr>
    <w:rPr>
      <w:rFonts w:ascii="Times New Roman" w:eastAsia="Arial" w:hAnsi="Times New Roman" w:cs="Times New Roman"/>
      <w:kern w:val="1"/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A93804"/>
    <w:pPr>
      <w:keepNext/>
      <w:keepLines/>
      <w:widowControl/>
      <w:suppressAutoHyphens w:val="0"/>
      <w:bidi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rtl/>
      <w: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17D7"/>
    <w:rPr>
      <w:sz w:val="20"/>
      <w:szCs w:val="20"/>
      <w:lang w:val="x-none"/>
    </w:rPr>
  </w:style>
  <w:style w:type="character" w:customStyle="1" w:styleId="a4">
    <w:name w:val="טקסט הערת שוליים תו"/>
    <w:link w:val="a3"/>
    <w:uiPriority w:val="99"/>
    <w:semiHidden/>
    <w:rsid w:val="00A617D7"/>
    <w:rPr>
      <w:rFonts w:ascii="Times New Roman" w:eastAsia="Arial" w:hAnsi="Times New Roman" w:cs="Times New Roman"/>
      <w:kern w:val="1"/>
      <w:sz w:val="20"/>
      <w:szCs w:val="20"/>
      <w:lang w:eastAsia="he-IL"/>
    </w:rPr>
  </w:style>
  <w:style w:type="character" w:styleId="a5">
    <w:name w:val="footnote reference"/>
    <w:uiPriority w:val="99"/>
    <w:semiHidden/>
    <w:unhideWhenUsed/>
    <w:rsid w:val="00A617D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63BB"/>
    <w:rPr>
      <w:rFonts w:ascii="Tahoma" w:hAnsi="Tahoma"/>
      <w:sz w:val="16"/>
      <w:szCs w:val="16"/>
      <w:lang w:val="x-none"/>
    </w:rPr>
  </w:style>
  <w:style w:type="character" w:customStyle="1" w:styleId="a7">
    <w:name w:val="טקסט בלונים תו"/>
    <w:link w:val="a6"/>
    <w:uiPriority w:val="99"/>
    <w:semiHidden/>
    <w:rsid w:val="00CF63BB"/>
    <w:rPr>
      <w:rFonts w:ascii="Tahoma" w:eastAsia="Arial" w:hAnsi="Tahoma" w:cs="Tahoma"/>
      <w:kern w:val="1"/>
      <w:sz w:val="16"/>
      <w:szCs w:val="16"/>
      <w:lang w:eastAsia="he-IL"/>
    </w:rPr>
  </w:style>
  <w:style w:type="paragraph" w:styleId="a8">
    <w:name w:val="header"/>
    <w:basedOn w:val="a"/>
    <w:link w:val="a9"/>
    <w:uiPriority w:val="99"/>
    <w:unhideWhenUsed/>
    <w:rsid w:val="001F5EC4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כותרת עליונה תו"/>
    <w:link w:val="a8"/>
    <w:uiPriority w:val="99"/>
    <w:rsid w:val="001F5EC4"/>
    <w:rPr>
      <w:rFonts w:ascii="Times New Roman" w:eastAsia="Arial" w:hAnsi="Times New Roman" w:cs="Times New Roman"/>
      <w:kern w:val="1"/>
      <w:sz w:val="24"/>
      <w:szCs w:val="24"/>
      <w:lang w:eastAsia="he-IL"/>
    </w:rPr>
  </w:style>
  <w:style w:type="paragraph" w:styleId="aa">
    <w:name w:val="footer"/>
    <w:basedOn w:val="a"/>
    <w:link w:val="ab"/>
    <w:uiPriority w:val="99"/>
    <w:unhideWhenUsed/>
    <w:rsid w:val="001F5EC4"/>
    <w:pPr>
      <w:tabs>
        <w:tab w:val="center" w:pos="4153"/>
        <w:tab w:val="right" w:pos="8306"/>
      </w:tabs>
    </w:pPr>
    <w:rPr>
      <w:lang w:val="x-none"/>
    </w:rPr>
  </w:style>
  <w:style w:type="character" w:customStyle="1" w:styleId="ab">
    <w:name w:val="כותרת תחתונה תו"/>
    <w:link w:val="aa"/>
    <w:uiPriority w:val="99"/>
    <w:rsid w:val="001F5EC4"/>
    <w:rPr>
      <w:rFonts w:ascii="Times New Roman" w:eastAsia="Arial" w:hAnsi="Times New Roman" w:cs="Times New Roman"/>
      <w:kern w:val="1"/>
      <w:sz w:val="24"/>
      <w:szCs w:val="24"/>
      <w:lang w:eastAsia="he-IL"/>
    </w:rPr>
  </w:style>
  <w:style w:type="character" w:styleId="ac">
    <w:name w:val="annotation reference"/>
    <w:uiPriority w:val="99"/>
    <w:semiHidden/>
    <w:unhideWhenUsed/>
    <w:rsid w:val="00C26F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6FAE"/>
    <w:rPr>
      <w:sz w:val="20"/>
      <w:szCs w:val="20"/>
      <w:lang w:val="x-none"/>
    </w:rPr>
  </w:style>
  <w:style w:type="character" w:customStyle="1" w:styleId="ae">
    <w:name w:val="טקסט הערה תו"/>
    <w:link w:val="ad"/>
    <w:uiPriority w:val="99"/>
    <w:semiHidden/>
    <w:rsid w:val="00C26FAE"/>
    <w:rPr>
      <w:rFonts w:ascii="Times New Roman" w:eastAsia="Arial" w:hAnsi="Times New Roman" w:cs="Times New Roman"/>
      <w:kern w:val="1"/>
      <w:lang w:eastAsia="he-IL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6FAE"/>
    <w:rPr>
      <w:b/>
      <w:bCs/>
    </w:rPr>
  </w:style>
  <w:style w:type="character" w:customStyle="1" w:styleId="af0">
    <w:name w:val="נושא הערה תו"/>
    <w:link w:val="af"/>
    <w:uiPriority w:val="99"/>
    <w:semiHidden/>
    <w:rsid w:val="00C26FAE"/>
    <w:rPr>
      <w:rFonts w:ascii="Times New Roman" w:eastAsia="Arial" w:hAnsi="Times New Roman" w:cs="Times New Roman"/>
      <w:b/>
      <w:bCs/>
      <w:kern w:val="1"/>
      <w:lang w:eastAsia="he-IL"/>
    </w:rPr>
  </w:style>
  <w:style w:type="paragraph" w:styleId="af1">
    <w:name w:val="List Paragraph"/>
    <w:basedOn w:val="a"/>
    <w:uiPriority w:val="34"/>
    <w:qFormat/>
    <w:rsid w:val="00344F5F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A93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2">
    <w:name w:val="Table Grid"/>
    <w:basedOn w:val="a1"/>
    <w:uiPriority w:val="59"/>
    <w:rsid w:val="00655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655B1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F1"/>
    <w:pPr>
      <w:widowControl w:val="0"/>
      <w:suppressAutoHyphens/>
    </w:pPr>
    <w:rPr>
      <w:rFonts w:ascii="Times New Roman" w:eastAsia="Arial" w:hAnsi="Times New Roman" w:cs="Times New Roman"/>
      <w:kern w:val="1"/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A93804"/>
    <w:pPr>
      <w:keepNext/>
      <w:keepLines/>
      <w:widowControl/>
      <w:suppressAutoHyphens w:val="0"/>
      <w:bidi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rtl/>
      <w: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17D7"/>
    <w:rPr>
      <w:sz w:val="20"/>
      <w:szCs w:val="20"/>
      <w:lang w:val="x-none"/>
    </w:rPr>
  </w:style>
  <w:style w:type="character" w:customStyle="1" w:styleId="a4">
    <w:name w:val="טקסט הערת שוליים תו"/>
    <w:link w:val="a3"/>
    <w:uiPriority w:val="99"/>
    <w:semiHidden/>
    <w:rsid w:val="00A617D7"/>
    <w:rPr>
      <w:rFonts w:ascii="Times New Roman" w:eastAsia="Arial" w:hAnsi="Times New Roman" w:cs="Times New Roman"/>
      <w:kern w:val="1"/>
      <w:sz w:val="20"/>
      <w:szCs w:val="20"/>
      <w:lang w:eastAsia="he-IL"/>
    </w:rPr>
  </w:style>
  <w:style w:type="character" w:styleId="a5">
    <w:name w:val="footnote reference"/>
    <w:uiPriority w:val="99"/>
    <w:semiHidden/>
    <w:unhideWhenUsed/>
    <w:rsid w:val="00A617D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63BB"/>
    <w:rPr>
      <w:rFonts w:ascii="Tahoma" w:hAnsi="Tahoma"/>
      <w:sz w:val="16"/>
      <w:szCs w:val="16"/>
      <w:lang w:val="x-none"/>
    </w:rPr>
  </w:style>
  <w:style w:type="character" w:customStyle="1" w:styleId="a7">
    <w:name w:val="טקסט בלונים תו"/>
    <w:link w:val="a6"/>
    <w:uiPriority w:val="99"/>
    <w:semiHidden/>
    <w:rsid w:val="00CF63BB"/>
    <w:rPr>
      <w:rFonts w:ascii="Tahoma" w:eastAsia="Arial" w:hAnsi="Tahoma" w:cs="Tahoma"/>
      <w:kern w:val="1"/>
      <w:sz w:val="16"/>
      <w:szCs w:val="16"/>
      <w:lang w:eastAsia="he-IL"/>
    </w:rPr>
  </w:style>
  <w:style w:type="paragraph" w:styleId="a8">
    <w:name w:val="header"/>
    <w:basedOn w:val="a"/>
    <w:link w:val="a9"/>
    <w:uiPriority w:val="99"/>
    <w:unhideWhenUsed/>
    <w:rsid w:val="001F5EC4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כותרת עליונה תו"/>
    <w:link w:val="a8"/>
    <w:uiPriority w:val="99"/>
    <w:rsid w:val="001F5EC4"/>
    <w:rPr>
      <w:rFonts w:ascii="Times New Roman" w:eastAsia="Arial" w:hAnsi="Times New Roman" w:cs="Times New Roman"/>
      <w:kern w:val="1"/>
      <w:sz w:val="24"/>
      <w:szCs w:val="24"/>
      <w:lang w:eastAsia="he-IL"/>
    </w:rPr>
  </w:style>
  <w:style w:type="paragraph" w:styleId="aa">
    <w:name w:val="footer"/>
    <w:basedOn w:val="a"/>
    <w:link w:val="ab"/>
    <w:uiPriority w:val="99"/>
    <w:unhideWhenUsed/>
    <w:rsid w:val="001F5EC4"/>
    <w:pPr>
      <w:tabs>
        <w:tab w:val="center" w:pos="4153"/>
        <w:tab w:val="right" w:pos="8306"/>
      </w:tabs>
    </w:pPr>
    <w:rPr>
      <w:lang w:val="x-none"/>
    </w:rPr>
  </w:style>
  <w:style w:type="character" w:customStyle="1" w:styleId="ab">
    <w:name w:val="כותרת תחתונה תו"/>
    <w:link w:val="aa"/>
    <w:uiPriority w:val="99"/>
    <w:rsid w:val="001F5EC4"/>
    <w:rPr>
      <w:rFonts w:ascii="Times New Roman" w:eastAsia="Arial" w:hAnsi="Times New Roman" w:cs="Times New Roman"/>
      <w:kern w:val="1"/>
      <w:sz w:val="24"/>
      <w:szCs w:val="24"/>
      <w:lang w:eastAsia="he-IL"/>
    </w:rPr>
  </w:style>
  <w:style w:type="character" w:styleId="ac">
    <w:name w:val="annotation reference"/>
    <w:uiPriority w:val="99"/>
    <w:semiHidden/>
    <w:unhideWhenUsed/>
    <w:rsid w:val="00C26F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6FAE"/>
    <w:rPr>
      <w:sz w:val="20"/>
      <w:szCs w:val="20"/>
      <w:lang w:val="x-none"/>
    </w:rPr>
  </w:style>
  <w:style w:type="character" w:customStyle="1" w:styleId="ae">
    <w:name w:val="טקסט הערה תו"/>
    <w:link w:val="ad"/>
    <w:uiPriority w:val="99"/>
    <w:semiHidden/>
    <w:rsid w:val="00C26FAE"/>
    <w:rPr>
      <w:rFonts w:ascii="Times New Roman" w:eastAsia="Arial" w:hAnsi="Times New Roman" w:cs="Times New Roman"/>
      <w:kern w:val="1"/>
      <w:lang w:eastAsia="he-IL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6FAE"/>
    <w:rPr>
      <w:b/>
      <w:bCs/>
    </w:rPr>
  </w:style>
  <w:style w:type="character" w:customStyle="1" w:styleId="af0">
    <w:name w:val="נושא הערה תו"/>
    <w:link w:val="af"/>
    <w:uiPriority w:val="99"/>
    <w:semiHidden/>
    <w:rsid w:val="00C26FAE"/>
    <w:rPr>
      <w:rFonts w:ascii="Times New Roman" w:eastAsia="Arial" w:hAnsi="Times New Roman" w:cs="Times New Roman"/>
      <w:b/>
      <w:bCs/>
      <w:kern w:val="1"/>
      <w:lang w:eastAsia="he-IL"/>
    </w:rPr>
  </w:style>
  <w:style w:type="paragraph" w:styleId="af1">
    <w:name w:val="List Paragraph"/>
    <w:basedOn w:val="a"/>
    <w:uiPriority w:val="34"/>
    <w:qFormat/>
    <w:rsid w:val="00344F5F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A93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2">
    <w:name w:val="Table Grid"/>
    <w:basedOn w:val="a1"/>
    <w:uiPriority w:val="59"/>
    <w:rsid w:val="00655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655B1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../embeddings/oleObject1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ital.k\Downloads\812017301x1g026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e-IL" sz="1000" b="1" i="0" u="none" strike="noStrike" baseline="0">
                <a:effectLst/>
              </a:rPr>
              <a:t>מגמות בהיארעות סרטן חודרני של השד בנשים, לפי קבוצת אוכלוסייה, </a:t>
            </a:r>
          </a:p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e-IL" sz="1000" b="1" i="0" u="none" strike="noStrike" baseline="0">
                <a:effectLst/>
              </a:rPr>
              <a:t>ישראל 1980-2015  </a:t>
            </a:r>
            <a:endParaRPr lang="en-US" sz="10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475399138643581"/>
          <c:y val="0.16668588623218436"/>
          <c:w val="0.8430188802366555"/>
          <c:h val="0.7047382235115347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Data!$B$2:$B$37</c:f>
              <c:numCache>
                <c:formatCode>General</c:formatCode>
                <c:ptCount val="36"/>
                <c:pt idx="0">
                  <c:v>1980</c:v>
                </c:pt>
                <c:pt idx="1">
                  <c:v>1981</c:v>
                </c:pt>
                <c:pt idx="2">
                  <c:v>1982</c:v>
                </c:pt>
                <c:pt idx="3">
                  <c:v>1983</c:v>
                </c:pt>
                <c:pt idx="4">
                  <c:v>1984</c:v>
                </c:pt>
                <c:pt idx="5">
                  <c:v>1985</c:v>
                </c:pt>
                <c:pt idx="6">
                  <c:v>1986</c:v>
                </c:pt>
                <c:pt idx="7">
                  <c:v>1987</c:v>
                </c:pt>
                <c:pt idx="8">
                  <c:v>1988</c:v>
                </c:pt>
                <c:pt idx="9">
                  <c:v>1989</c:v>
                </c:pt>
                <c:pt idx="10">
                  <c:v>1990</c:v>
                </c:pt>
                <c:pt idx="11">
                  <c:v>1991</c:v>
                </c:pt>
                <c:pt idx="12">
                  <c:v>1992</c:v>
                </c:pt>
                <c:pt idx="13">
                  <c:v>1993</c:v>
                </c:pt>
                <c:pt idx="14">
                  <c:v>1994</c:v>
                </c:pt>
                <c:pt idx="15">
                  <c:v>1995</c:v>
                </c:pt>
                <c:pt idx="16">
                  <c:v>1996</c:v>
                </c:pt>
                <c:pt idx="17">
                  <c:v>1997</c:v>
                </c:pt>
                <c:pt idx="18">
                  <c:v>1998</c:v>
                </c:pt>
                <c:pt idx="19">
                  <c:v>1999</c:v>
                </c:pt>
                <c:pt idx="20">
                  <c:v>2000</c:v>
                </c:pt>
                <c:pt idx="21">
                  <c:v>2001</c:v>
                </c:pt>
                <c:pt idx="22">
                  <c:v>2002</c:v>
                </c:pt>
                <c:pt idx="23">
                  <c:v>2003</c:v>
                </c:pt>
                <c:pt idx="24">
                  <c:v>2004</c:v>
                </c:pt>
                <c:pt idx="25">
                  <c:v>2005</c:v>
                </c:pt>
                <c:pt idx="26">
                  <c:v>2006</c:v>
                </c:pt>
                <c:pt idx="27">
                  <c:v>2007</c:v>
                </c:pt>
                <c:pt idx="28">
                  <c:v>2008</c:v>
                </c:pt>
                <c:pt idx="29">
                  <c:v>2009</c:v>
                </c:pt>
                <c:pt idx="30">
                  <c:v>2010</c:v>
                </c:pt>
                <c:pt idx="31">
                  <c:v>2011</c:v>
                </c:pt>
                <c:pt idx="32">
                  <c:v>2012</c:v>
                </c:pt>
                <c:pt idx="33">
                  <c:v>2013</c:v>
                </c:pt>
                <c:pt idx="34">
                  <c:v>2014</c:v>
                </c:pt>
                <c:pt idx="35">
                  <c:v>2015</c:v>
                </c:pt>
              </c:numCache>
            </c:numRef>
          </c:cat>
          <c:val>
            <c:numRef>
              <c:f>Data!$C$2:$C$37</c:f>
              <c:numCache>
                <c:formatCode>General</c:formatCode>
                <c:ptCount val="36"/>
                <c:pt idx="0">
                  <c:v>76.37</c:v>
                </c:pt>
                <c:pt idx="1">
                  <c:v>67.52</c:v>
                </c:pt>
                <c:pt idx="2">
                  <c:v>74.05</c:v>
                </c:pt>
                <c:pt idx="3">
                  <c:v>62.84</c:v>
                </c:pt>
                <c:pt idx="4">
                  <c:v>70.86</c:v>
                </c:pt>
                <c:pt idx="5">
                  <c:v>70.400000000000006</c:v>
                </c:pt>
                <c:pt idx="6">
                  <c:v>73.7</c:v>
                </c:pt>
                <c:pt idx="7">
                  <c:v>70.650000000000006</c:v>
                </c:pt>
                <c:pt idx="8">
                  <c:v>76.38</c:v>
                </c:pt>
                <c:pt idx="9">
                  <c:v>85.95</c:v>
                </c:pt>
                <c:pt idx="10">
                  <c:v>94.32</c:v>
                </c:pt>
                <c:pt idx="11">
                  <c:v>89.37</c:v>
                </c:pt>
                <c:pt idx="12">
                  <c:v>89.15</c:v>
                </c:pt>
                <c:pt idx="13">
                  <c:v>92.15</c:v>
                </c:pt>
                <c:pt idx="14">
                  <c:v>87.62</c:v>
                </c:pt>
                <c:pt idx="15">
                  <c:v>93.8</c:v>
                </c:pt>
                <c:pt idx="16">
                  <c:v>89.12</c:v>
                </c:pt>
                <c:pt idx="17">
                  <c:v>90.59</c:v>
                </c:pt>
                <c:pt idx="18">
                  <c:v>101.28</c:v>
                </c:pt>
                <c:pt idx="19">
                  <c:v>98.17</c:v>
                </c:pt>
                <c:pt idx="20">
                  <c:v>99.01</c:v>
                </c:pt>
                <c:pt idx="21">
                  <c:v>93.35</c:v>
                </c:pt>
                <c:pt idx="22">
                  <c:v>97.85</c:v>
                </c:pt>
                <c:pt idx="23">
                  <c:v>90.8</c:v>
                </c:pt>
                <c:pt idx="24">
                  <c:v>90.55</c:v>
                </c:pt>
                <c:pt idx="25">
                  <c:v>91.76</c:v>
                </c:pt>
                <c:pt idx="26">
                  <c:v>91.02</c:v>
                </c:pt>
                <c:pt idx="27">
                  <c:v>92.74</c:v>
                </c:pt>
                <c:pt idx="28">
                  <c:v>94.3</c:v>
                </c:pt>
                <c:pt idx="29">
                  <c:v>92.44</c:v>
                </c:pt>
                <c:pt idx="30">
                  <c:v>93.09</c:v>
                </c:pt>
                <c:pt idx="31">
                  <c:v>92.7</c:v>
                </c:pt>
                <c:pt idx="32">
                  <c:v>96.77</c:v>
                </c:pt>
                <c:pt idx="33">
                  <c:v>102.82</c:v>
                </c:pt>
                <c:pt idx="34">
                  <c:v>92.79</c:v>
                </c:pt>
                <c:pt idx="35">
                  <c:v>98.88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6C3-4664-997E-8179F0655F3A}"/>
            </c:ext>
          </c:extLst>
        </c:ser>
        <c:ser>
          <c:idx val="1"/>
          <c:order val="1"/>
          <c:tx>
            <c:v>נשים יהודיות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Data!$B$2:$B$37</c:f>
              <c:numCache>
                <c:formatCode>General</c:formatCode>
                <c:ptCount val="36"/>
                <c:pt idx="0">
                  <c:v>1980</c:v>
                </c:pt>
                <c:pt idx="1">
                  <c:v>1981</c:v>
                </c:pt>
                <c:pt idx="2">
                  <c:v>1982</c:v>
                </c:pt>
                <c:pt idx="3">
                  <c:v>1983</c:v>
                </c:pt>
                <c:pt idx="4">
                  <c:v>1984</c:v>
                </c:pt>
                <c:pt idx="5">
                  <c:v>1985</c:v>
                </c:pt>
                <c:pt idx="6">
                  <c:v>1986</c:v>
                </c:pt>
                <c:pt idx="7">
                  <c:v>1987</c:v>
                </c:pt>
                <c:pt idx="8">
                  <c:v>1988</c:v>
                </c:pt>
                <c:pt idx="9">
                  <c:v>1989</c:v>
                </c:pt>
                <c:pt idx="10">
                  <c:v>1990</c:v>
                </c:pt>
                <c:pt idx="11">
                  <c:v>1991</c:v>
                </c:pt>
                <c:pt idx="12">
                  <c:v>1992</c:v>
                </c:pt>
                <c:pt idx="13">
                  <c:v>1993</c:v>
                </c:pt>
                <c:pt idx="14">
                  <c:v>1994</c:v>
                </c:pt>
                <c:pt idx="15">
                  <c:v>1995</c:v>
                </c:pt>
                <c:pt idx="16">
                  <c:v>1996</c:v>
                </c:pt>
                <c:pt idx="17">
                  <c:v>1997</c:v>
                </c:pt>
                <c:pt idx="18">
                  <c:v>1998</c:v>
                </c:pt>
                <c:pt idx="19">
                  <c:v>1999</c:v>
                </c:pt>
                <c:pt idx="20">
                  <c:v>2000</c:v>
                </c:pt>
                <c:pt idx="21">
                  <c:v>2001</c:v>
                </c:pt>
                <c:pt idx="22">
                  <c:v>2002</c:v>
                </c:pt>
                <c:pt idx="23">
                  <c:v>2003</c:v>
                </c:pt>
                <c:pt idx="24">
                  <c:v>2004</c:v>
                </c:pt>
                <c:pt idx="25">
                  <c:v>2005</c:v>
                </c:pt>
                <c:pt idx="26">
                  <c:v>2006</c:v>
                </c:pt>
                <c:pt idx="27">
                  <c:v>2007</c:v>
                </c:pt>
                <c:pt idx="28">
                  <c:v>2008</c:v>
                </c:pt>
                <c:pt idx="29">
                  <c:v>2009</c:v>
                </c:pt>
                <c:pt idx="30">
                  <c:v>2010</c:v>
                </c:pt>
                <c:pt idx="31">
                  <c:v>2011</c:v>
                </c:pt>
                <c:pt idx="32">
                  <c:v>2012</c:v>
                </c:pt>
                <c:pt idx="33">
                  <c:v>2013</c:v>
                </c:pt>
                <c:pt idx="34">
                  <c:v>2014</c:v>
                </c:pt>
                <c:pt idx="35">
                  <c:v>2015</c:v>
                </c:pt>
              </c:numCache>
            </c:numRef>
          </c:cat>
          <c:val>
            <c:numRef>
              <c:f>Data!$D$2:$D$37</c:f>
              <c:numCache>
                <c:formatCode>General</c:formatCode>
                <c:ptCount val="36"/>
                <c:pt idx="0">
                  <c:v>73.150000000000006</c:v>
                </c:pt>
                <c:pt idx="1">
                  <c:v>71.87</c:v>
                </c:pt>
                <c:pt idx="2">
                  <c:v>70.61</c:v>
                </c:pt>
                <c:pt idx="3">
                  <c:v>69.37</c:v>
                </c:pt>
                <c:pt idx="4">
                  <c:v>68.16</c:v>
                </c:pt>
                <c:pt idx="5">
                  <c:v>66.959999999999994</c:v>
                </c:pt>
                <c:pt idx="6">
                  <c:v>71.209999999999994</c:v>
                </c:pt>
                <c:pt idx="7">
                  <c:v>75.73</c:v>
                </c:pt>
                <c:pt idx="8">
                  <c:v>80.540000000000006</c:v>
                </c:pt>
                <c:pt idx="9">
                  <c:v>85.65</c:v>
                </c:pt>
                <c:pt idx="10">
                  <c:v>91.08</c:v>
                </c:pt>
                <c:pt idx="11">
                  <c:v>91.29</c:v>
                </c:pt>
                <c:pt idx="12">
                  <c:v>91.49</c:v>
                </c:pt>
                <c:pt idx="13">
                  <c:v>91.7</c:v>
                </c:pt>
                <c:pt idx="14">
                  <c:v>91.9</c:v>
                </c:pt>
                <c:pt idx="15">
                  <c:v>92.11</c:v>
                </c:pt>
                <c:pt idx="16">
                  <c:v>92.31</c:v>
                </c:pt>
                <c:pt idx="17">
                  <c:v>92.52</c:v>
                </c:pt>
                <c:pt idx="18">
                  <c:v>92.73</c:v>
                </c:pt>
                <c:pt idx="19">
                  <c:v>92.94</c:v>
                </c:pt>
                <c:pt idx="20">
                  <c:v>93.14</c:v>
                </c:pt>
                <c:pt idx="21">
                  <c:v>93.35</c:v>
                </c:pt>
                <c:pt idx="22">
                  <c:v>93.56</c:v>
                </c:pt>
                <c:pt idx="23">
                  <c:v>93.77</c:v>
                </c:pt>
                <c:pt idx="24">
                  <c:v>93.98</c:v>
                </c:pt>
                <c:pt idx="25">
                  <c:v>94.19</c:v>
                </c:pt>
                <c:pt idx="26">
                  <c:v>94.4</c:v>
                </c:pt>
                <c:pt idx="27">
                  <c:v>94.61</c:v>
                </c:pt>
                <c:pt idx="28">
                  <c:v>94.82</c:v>
                </c:pt>
                <c:pt idx="29">
                  <c:v>95.04</c:v>
                </c:pt>
                <c:pt idx="30">
                  <c:v>95.25</c:v>
                </c:pt>
                <c:pt idx="31">
                  <c:v>95.46</c:v>
                </c:pt>
                <c:pt idx="32">
                  <c:v>95.67</c:v>
                </c:pt>
                <c:pt idx="33">
                  <c:v>95.89</c:v>
                </c:pt>
                <c:pt idx="34">
                  <c:v>96.1</c:v>
                </c:pt>
                <c:pt idx="35">
                  <c:v>96.32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6C3-4664-997E-8179F0655F3A}"/>
            </c:ext>
          </c:extLst>
        </c:ser>
        <c:ser>
          <c:idx val="2"/>
          <c:order val="2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noFill/>
              </a:ln>
              <a:effectLst/>
            </c:spPr>
          </c:marker>
          <c:val>
            <c:numRef>
              <c:f>Data!$C$38:$C$73</c:f>
              <c:numCache>
                <c:formatCode>General</c:formatCode>
                <c:ptCount val="36"/>
                <c:pt idx="0">
                  <c:v>20.059999999999999</c:v>
                </c:pt>
                <c:pt idx="1">
                  <c:v>9.7899999999999991</c:v>
                </c:pt>
                <c:pt idx="2">
                  <c:v>20.29</c:v>
                </c:pt>
                <c:pt idx="3">
                  <c:v>14.71</c:v>
                </c:pt>
                <c:pt idx="4">
                  <c:v>16.11</c:v>
                </c:pt>
                <c:pt idx="5">
                  <c:v>18.47</c:v>
                </c:pt>
                <c:pt idx="6">
                  <c:v>18.75</c:v>
                </c:pt>
                <c:pt idx="7">
                  <c:v>18.71</c:v>
                </c:pt>
                <c:pt idx="8">
                  <c:v>20.399999999999999</c:v>
                </c:pt>
                <c:pt idx="9">
                  <c:v>19.64</c:v>
                </c:pt>
                <c:pt idx="10">
                  <c:v>22.48</c:v>
                </c:pt>
                <c:pt idx="11">
                  <c:v>22.48</c:v>
                </c:pt>
                <c:pt idx="12">
                  <c:v>29.34</c:v>
                </c:pt>
                <c:pt idx="13">
                  <c:v>25.8</c:v>
                </c:pt>
                <c:pt idx="14">
                  <c:v>30.29</c:v>
                </c:pt>
                <c:pt idx="15">
                  <c:v>31.91</c:v>
                </c:pt>
                <c:pt idx="16">
                  <c:v>37.130000000000003</c:v>
                </c:pt>
                <c:pt idx="17">
                  <c:v>38.869999999999997</c:v>
                </c:pt>
                <c:pt idx="18">
                  <c:v>38.729999999999997</c:v>
                </c:pt>
                <c:pt idx="19">
                  <c:v>52.17</c:v>
                </c:pt>
                <c:pt idx="20">
                  <c:v>46.38</c:v>
                </c:pt>
                <c:pt idx="21">
                  <c:v>47.23</c:v>
                </c:pt>
                <c:pt idx="22">
                  <c:v>52.04</c:v>
                </c:pt>
                <c:pt idx="23">
                  <c:v>45.02</c:v>
                </c:pt>
                <c:pt idx="24">
                  <c:v>54.53</c:v>
                </c:pt>
                <c:pt idx="25">
                  <c:v>56.34</c:v>
                </c:pt>
                <c:pt idx="26">
                  <c:v>56.72</c:v>
                </c:pt>
                <c:pt idx="27">
                  <c:v>66.84</c:v>
                </c:pt>
                <c:pt idx="28">
                  <c:v>56.46</c:v>
                </c:pt>
                <c:pt idx="29">
                  <c:v>57.38</c:v>
                </c:pt>
                <c:pt idx="30">
                  <c:v>55.15</c:v>
                </c:pt>
                <c:pt idx="31">
                  <c:v>59.04</c:v>
                </c:pt>
                <c:pt idx="32">
                  <c:v>60.95</c:v>
                </c:pt>
                <c:pt idx="33">
                  <c:v>66.510000000000005</c:v>
                </c:pt>
                <c:pt idx="34">
                  <c:v>60.69</c:v>
                </c:pt>
                <c:pt idx="35">
                  <c:v>69.22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F6C3-4664-997E-8179F0655F3A}"/>
            </c:ext>
          </c:extLst>
        </c:ser>
        <c:ser>
          <c:idx val="3"/>
          <c:order val="3"/>
          <c:tx>
            <c:v>נשים ערביות</c:v>
          </c:tx>
          <c:spPr>
            <a:ln w="25400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val>
            <c:numRef>
              <c:f>Data!$D$38:$D$73</c:f>
              <c:numCache>
                <c:formatCode>General</c:formatCode>
                <c:ptCount val="36"/>
                <c:pt idx="0">
                  <c:v>13.2</c:v>
                </c:pt>
                <c:pt idx="1">
                  <c:v>14.05</c:v>
                </c:pt>
                <c:pt idx="2">
                  <c:v>14.95</c:v>
                </c:pt>
                <c:pt idx="3">
                  <c:v>15.91</c:v>
                </c:pt>
                <c:pt idx="4">
                  <c:v>16.93</c:v>
                </c:pt>
                <c:pt idx="5">
                  <c:v>18.010000000000002</c:v>
                </c:pt>
                <c:pt idx="6">
                  <c:v>19.170000000000002</c:v>
                </c:pt>
                <c:pt idx="7">
                  <c:v>20.399999999999999</c:v>
                </c:pt>
                <c:pt idx="8">
                  <c:v>21.7</c:v>
                </c:pt>
                <c:pt idx="9">
                  <c:v>23.09</c:v>
                </c:pt>
                <c:pt idx="10">
                  <c:v>24.57</c:v>
                </c:pt>
                <c:pt idx="11">
                  <c:v>26.15</c:v>
                </c:pt>
                <c:pt idx="12">
                  <c:v>27.82</c:v>
                </c:pt>
                <c:pt idx="13">
                  <c:v>29.61</c:v>
                </c:pt>
                <c:pt idx="14">
                  <c:v>31.5</c:v>
                </c:pt>
                <c:pt idx="15">
                  <c:v>33.520000000000003</c:v>
                </c:pt>
                <c:pt idx="16">
                  <c:v>35.67</c:v>
                </c:pt>
                <c:pt idx="17">
                  <c:v>37.96</c:v>
                </c:pt>
                <c:pt idx="18">
                  <c:v>40.39</c:v>
                </c:pt>
                <c:pt idx="19">
                  <c:v>42.98</c:v>
                </c:pt>
                <c:pt idx="20">
                  <c:v>45.73</c:v>
                </c:pt>
                <c:pt idx="21">
                  <c:v>48.66</c:v>
                </c:pt>
                <c:pt idx="22">
                  <c:v>51.78</c:v>
                </c:pt>
                <c:pt idx="23">
                  <c:v>52.74</c:v>
                </c:pt>
                <c:pt idx="24">
                  <c:v>53.73</c:v>
                </c:pt>
                <c:pt idx="25">
                  <c:v>54.73</c:v>
                </c:pt>
                <c:pt idx="26">
                  <c:v>55.75</c:v>
                </c:pt>
                <c:pt idx="27">
                  <c:v>56.79</c:v>
                </c:pt>
                <c:pt idx="28">
                  <c:v>57.84</c:v>
                </c:pt>
                <c:pt idx="29">
                  <c:v>58.92</c:v>
                </c:pt>
                <c:pt idx="30">
                  <c:v>60.02</c:v>
                </c:pt>
                <c:pt idx="31">
                  <c:v>61.14</c:v>
                </c:pt>
                <c:pt idx="32">
                  <c:v>62.28</c:v>
                </c:pt>
                <c:pt idx="33">
                  <c:v>63.44</c:v>
                </c:pt>
                <c:pt idx="34">
                  <c:v>64.62</c:v>
                </c:pt>
                <c:pt idx="35">
                  <c:v>65.83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F6C3-4664-997E-8179F0655F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296576"/>
        <c:axId val="108487040"/>
      </c:lineChart>
      <c:catAx>
        <c:axId val="782965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e-IL"/>
                  <a:t>שנת</a:t>
                </a:r>
                <a:r>
                  <a:rPr lang="he-IL" baseline="0"/>
                  <a:t> אבחנה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22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108487040"/>
        <c:crosses val="autoZero"/>
        <c:auto val="1"/>
        <c:lblAlgn val="ctr"/>
        <c:lblOffset val="100"/>
        <c:noMultiLvlLbl val="0"/>
      </c:catAx>
      <c:valAx>
        <c:axId val="10848704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e-IL" sz="900"/>
                  <a:t>שיעור היארעות</a:t>
                </a:r>
                <a:r>
                  <a:rPr lang="he-IL" sz="900" baseline="0"/>
                  <a:t> ל-100,000 מתוקנן לגיל</a:t>
                </a:r>
                <a:endParaRPr lang="en-US" sz="900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7829657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5812363147286147"/>
          <c:y val="0.78827786686847212"/>
          <c:w val="0.37620140369194183"/>
          <c:h val="5.94508300519155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e-I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e-I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e-IL" sz="1000" b="1">
                <a:effectLst/>
              </a:rPr>
              <a:t>מגמות בהיארעות סרטן ממוקד של השד בנשים, לפי קבוצת אוכלוסייה, </a:t>
            </a:r>
          </a:p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e-IL" sz="1000" b="1">
                <a:effectLst/>
              </a:rPr>
              <a:t>ישראל 1980-2015</a:t>
            </a:r>
            <a:endParaRPr lang="en-US" sz="1000">
              <a:effectLst/>
            </a:endParaRPr>
          </a:p>
        </c:rich>
      </c:tx>
      <c:layout>
        <c:manualLayout>
          <c:xMode val="edge"/>
          <c:yMode val="edge"/>
          <c:x val="0.11637320369484201"/>
          <c:y val="2.466091245376078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441789562216325"/>
          <c:y val="0.16630532484809263"/>
          <c:w val="0.86019199257551371"/>
          <c:h val="0.73475592948141755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2"/>
              </a:solidFill>
              <a:ln w="9525">
                <a:noFill/>
              </a:ln>
              <a:effectLst/>
            </c:spPr>
          </c:marker>
          <c:cat>
            <c:numRef>
              <c:f>[insitu_breast_joinpoint_90_15_jews_output.xlsx]Data!$B$2:$B$37</c:f>
              <c:numCache>
                <c:formatCode>General</c:formatCode>
                <c:ptCount val="36"/>
                <c:pt idx="0">
                  <c:v>1980</c:v>
                </c:pt>
                <c:pt idx="1">
                  <c:v>1981</c:v>
                </c:pt>
                <c:pt idx="2">
                  <c:v>1982</c:v>
                </c:pt>
                <c:pt idx="3">
                  <c:v>1983</c:v>
                </c:pt>
                <c:pt idx="4">
                  <c:v>1984</c:v>
                </c:pt>
                <c:pt idx="5">
                  <c:v>1985</c:v>
                </c:pt>
                <c:pt idx="6">
                  <c:v>1986</c:v>
                </c:pt>
                <c:pt idx="7">
                  <c:v>1987</c:v>
                </c:pt>
                <c:pt idx="8">
                  <c:v>1988</c:v>
                </c:pt>
                <c:pt idx="9">
                  <c:v>1989</c:v>
                </c:pt>
                <c:pt idx="10">
                  <c:v>1990</c:v>
                </c:pt>
                <c:pt idx="11">
                  <c:v>1991</c:v>
                </c:pt>
                <c:pt idx="12">
                  <c:v>1992</c:v>
                </c:pt>
                <c:pt idx="13">
                  <c:v>1993</c:v>
                </c:pt>
                <c:pt idx="14">
                  <c:v>1994</c:v>
                </c:pt>
                <c:pt idx="15">
                  <c:v>1995</c:v>
                </c:pt>
                <c:pt idx="16">
                  <c:v>1996</c:v>
                </c:pt>
                <c:pt idx="17">
                  <c:v>1997</c:v>
                </c:pt>
                <c:pt idx="18">
                  <c:v>1998</c:v>
                </c:pt>
                <c:pt idx="19">
                  <c:v>1999</c:v>
                </c:pt>
                <c:pt idx="20">
                  <c:v>2000</c:v>
                </c:pt>
                <c:pt idx="21">
                  <c:v>2001</c:v>
                </c:pt>
                <c:pt idx="22">
                  <c:v>2002</c:v>
                </c:pt>
                <c:pt idx="23">
                  <c:v>2003</c:v>
                </c:pt>
                <c:pt idx="24">
                  <c:v>2004</c:v>
                </c:pt>
                <c:pt idx="25">
                  <c:v>2005</c:v>
                </c:pt>
                <c:pt idx="26">
                  <c:v>2006</c:v>
                </c:pt>
                <c:pt idx="27">
                  <c:v>2007</c:v>
                </c:pt>
                <c:pt idx="28">
                  <c:v>2008</c:v>
                </c:pt>
                <c:pt idx="29">
                  <c:v>2009</c:v>
                </c:pt>
                <c:pt idx="30">
                  <c:v>2010</c:v>
                </c:pt>
                <c:pt idx="31">
                  <c:v>2011</c:v>
                </c:pt>
                <c:pt idx="32">
                  <c:v>2012</c:v>
                </c:pt>
                <c:pt idx="33">
                  <c:v>2013</c:v>
                </c:pt>
                <c:pt idx="34">
                  <c:v>2014</c:v>
                </c:pt>
                <c:pt idx="35">
                  <c:v>2015</c:v>
                </c:pt>
              </c:numCache>
            </c:numRef>
          </c:cat>
          <c:val>
            <c:numRef>
              <c:f>[insitu_breast_joinpoint_90_15_jews_output.xlsx]Data!$C$2:$C$37</c:f>
              <c:numCache>
                <c:formatCode>General</c:formatCode>
                <c:ptCount val="36"/>
                <c:pt idx="0">
                  <c:v>2.08</c:v>
                </c:pt>
                <c:pt idx="1">
                  <c:v>1.92</c:v>
                </c:pt>
                <c:pt idx="2">
                  <c:v>1.44</c:v>
                </c:pt>
                <c:pt idx="3">
                  <c:v>1.31</c:v>
                </c:pt>
                <c:pt idx="4">
                  <c:v>1.81</c:v>
                </c:pt>
                <c:pt idx="5">
                  <c:v>1.64</c:v>
                </c:pt>
                <c:pt idx="6">
                  <c:v>1.86</c:v>
                </c:pt>
                <c:pt idx="7">
                  <c:v>1.73</c:v>
                </c:pt>
                <c:pt idx="8">
                  <c:v>2.2400000000000002</c:v>
                </c:pt>
                <c:pt idx="9">
                  <c:v>4.32</c:v>
                </c:pt>
                <c:pt idx="10">
                  <c:v>5.73</c:v>
                </c:pt>
                <c:pt idx="11">
                  <c:v>4.9000000000000004</c:v>
                </c:pt>
                <c:pt idx="12">
                  <c:v>6.58</c:v>
                </c:pt>
                <c:pt idx="13">
                  <c:v>6.33</c:v>
                </c:pt>
                <c:pt idx="14">
                  <c:v>7.45</c:v>
                </c:pt>
                <c:pt idx="15">
                  <c:v>6.6</c:v>
                </c:pt>
                <c:pt idx="16">
                  <c:v>6.45</c:v>
                </c:pt>
                <c:pt idx="17">
                  <c:v>6.63</c:v>
                </c:pt>
                <c:pt idx="18">
                  <c:v>8.92</c:v>
                </c:pt>
                <c:pt idx="19">
                  <c:v>9.15</c:v>
                </c:pt>
                <c:pt idx="20">
                  <c:v>10.5</c:v>
                </c:pt>
                <c:pt idx="21">
                  <c:v>9.8699999999999992</c:v>
                </c:pt>
                <c:pt idx="22">
                  <c:v>10.97</c:v>
                </c:pt>
                <c:pt idx="23">
                  <c:v>10.18</c:v>
                </c:pt>
                <c:pt idx="24">
                  <c:v>10.61</c:v>
                </c:pt>
                <c:pt idx="25">
                  <c:v>10.64</c:v>
                </c:pt>
                <c:pt idx="26">
                  <c:v>12.08</c:v>
                </c:pt>
                <c:pt idx="27">
                  <c:v>12.44</c:v>
                </c:pt>
                <c:pt idx="28">
                  <c:v>11.73</c:v>
                </c:pt>
                <c:pt idx="29">
                  <c:v>12.73</c:v>
                </c:pt>
                <c:pt idx="30">
                  <c:v>11.46</c:v>
                </c:pt>
                <c:pt idx="31">
                  <c:v>13.07</c:v>
                </c:pt>
                <c:pt idx="32">
                  <c:v>14.21</c:v>
                </c:pt>
                <c:pt idx="33">
                  <c:v>13.18</c:v>
                </c:pt>
                <c:pt idx="34">
                  <c:v>15.28</c:v>
                </c:pt>
                <c:pt idx="35">
                  <c:v>14.92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290-495E-BF4C-BA8C60A0CBA2}"/>
            </c:ext>
          </c:extLst>
        </c:ser>
        <c:ser>
          <c:idx val="1"/>
          <c:order val="1"/>
          <c:tx>
            <c:v>נשים יהודיות</c:v>
          </c:tx>
          <c:spPr>
            <a:ln w="28575" cap="rnd">
              <a:solidFill>
                <a:schemeClr val="tx2"/>
              </a:solidFill>
              <a:round/>
            </a:ln>
            <a:effectLst/>
          </c:spPr>
          <c:marker>
            <c:symbol val="none"/>
          </c:marker>
          <c:cat>
            <c:numRef>
              <c:f>[insitu_breast_joinpoint_90_15_jews_output.xlsx]Data!$B$2:$B$37</c:f>
              <c:numCache>
                <c:formatCode>General</c:formatCode>
                <c:ptCount val="36"/>
                <c:pt idx="0">
                  <c:v>1980</c:v>
                </c:pt>
                <c:pt idx="1">
                  <c:v>1981</c:v>
                </c:pt>
                <c:pt idx="2">
                  <c:v>1982</c:v>
                </c:pt>
                <c:pt idx="3">
                  <c:v>1983</c:v>
                </c:pt>
                <c:pt idx="4">
                  <c:v>1984</c:v>
                </c:pt>
                <c:pt idx="5">
                  <c:v>1985</c:v>
                </c:pt>
                <c:pt idx="6">
                  <c:v>1986</c:v>
                </c:pt>
                <c:pt idx="7">
                  <c:v>1987</c:v>
                </c:pt>
                <c:pt idx="8">
                  <c:v>1988</c:v>
                </c:pt>
                <c:pt idx="9">
                  <c:v>1989</c:v>
                </c:pt>
                <c:pt idx="10">
                  <c:v>1990</c:v>
                </c:pt>
                <c:pt idx="11">
                  <c:v>1991</c:v>
                </c:pt>
                <c:pt idx="12">
                  <c:v>1992</c:v>
                </c:pt>
                <c:pt idx="13">
                  <c:v>1993</c:v>
                </c:pt>
                <c:pt idx="14">
                  <c:v>1994</c:v>
                </c:pt>
                <c:pt idx="15">
                  <c:v>1995</c:v>
                </c:pt>
                <c:pt idx="16">
                  <c:v>1996</c:v>
                </c:pt>
                <c:pt idx="17">
                  <c:v>1997</c:v>
                </c:pt>
                <c:pt idx="18">
                  <c:v>1998</c:v>
                </c:pt>
                <c:pt idx="19">
                  <c:v>1999</c:v>
                </c:pt>
                <c:pt idx="20">
                  <c:v>2000</c:v>
                </c:pt>
                <c:pt idx="21">
                  <c:v>2001</c:v>
                </c:pt>
                <c:pt idx="22">
                  <c:v>2002</c:v>
                </c:pt>
                <c:pt idx="23">
                  <c:v>2003</c:v>
                </c:pt>
                <c:pt idx="24">
                  <c:v>2004</c:v>
                </c:pt>
                <c:pt idx="25">
                  <c:v>2005</c:v>
                </c:pt>
                <c:pt idx="26">
                  <c:v>2006</c:v>
                </c:pt>
                <c:pt idx="27">
                  <c:v>2007</c:v>
                </c:pt>
                <c:pt idx="28">
                  <c:v>2008</c:v>
                </c:pt>
                <c:pt idx="29">
                  <c:v>2009</c:v>
                </c:pt>
                <c:pt idx="30">
                  <c:v>2010</c:v>
                </c:pt>
                <c:pt idx="31">
                  <c:v>2011</c:v>
                </c:pt>
                <c:pt idx="32">
                  <c:v>2012</c:v>
                </c:pt>
                <c:pt idx="33">
                  <c:v>2013</c:v>
                </c:pt>
                <c:pt idx="34">
                  <c:v>2014</c:v>
                </c:pt>
                <c:pt idx="35">
                  <c:v>2015</c:v>
                </c:pt>
              </c:numCache>
            </c:numRef>
          </c:cat>
          <c:val>
            <c:numRef>
              <c:f>[insitu_breast_joinpoint_90_15_jews_output.xlsx]Data!$D$2:$D$37</c:f>
              <c:numCache>
                <c:formatCode>General</c:formatCode>
                <c:ptCount val="36"/>
                <c:pt idx="0">
                  <c:v>1.99</c:v>
                </c:pt>
                <c:pt idx="1">
                  <c:v>1.84</c:v>
                </c:pt>
                <c:pt idx="2">
                  <c:v>1.7</c:v>
                </c:pt>
                <c:pt idx="3">
                  <c:v>1.58</c:v>
                </c:pt>
                <c:pt idx="4">
                  <c:v>1.46</c:v>
                </c:pt>
                <c:pt idx="5">
                  <c:v>1.35</c:v>
                </c:pt>
                <c:pt idx="6">
                  <c:v>1.77</c:v>
                </c:pt>
                <c:pt idx="7">
                  <c:v>2.31</c:v>
                </c:pt>
                <c:pt idx="8">
                  <c:v>3.02</c:v>
                </c:pt>
                <c:pt idx="9">
                  <c:v>3.95</c:v>
                </c:pt>
                <c:pt idx="10">
                  <c:v>5.16</c:v>
                </c:pt>
                <c:pt idx="11">
                  <c:v>5.49</c:v>
                </c:pt>
                <c:pt idx="12">
                  <c:v>5.85</c:v>
                </c:pt>
                <c:pt idx="13">
                  <c:v>6.23</c:v>
                </c:pt>
                <c:pt idx="14">
                  <c:v>6.63</c:v>
                </c:pt>
                <c:pt idx="15">
                  <c:v>7.06</c:v>
                </c:pt>
                <c:pt idx="16">
                  <c:v>7.52</c:v>
                </c:pt>
                <c:pt idx="17">
                  <c:v>8.01</c:v>
                </c:pt>
                <c:pt idx="18">
                  <c:v>8.5299999999999994</c:v>
                </c:pt>
                <c:pt idx="19">
                  <c:v>9.09</c:v>
                </c:pt>
                <c:pt idx="20">
                  <c:v>9.68</c:v>
                </c:pt>
                <c:pt idx="21">
                  <c:v>9.9600000000000009</c:v>
                </c:pt>
                <c:pt idx="22">
                  <c:v>10.24</c:v>
                </c:pt>
                <c:pt idx="23">
                  <c:v>10.54</c:v>
                </c:pt>
                <c:pt idx="24">
                  <c:v>10.84</c:v>
                </c:pt>
                <c:pt idx="25">
                  <c:v>11.16</c:v>
                </c:pt>
                <c:pt idx="26">
                  <c:v>11.48</c:v>
                </c:pt>
                <c:pt idx="27">
                  <c:v>11.81</c:v>
                </c:pt>
                <c:pt idx="28">
                  <c:v>12.15</c:v>
                </c:pt>
                <c:pt idx="29">
                  <c:v>12.5</c:v>
                </c:pt>
                <c:pt idx="30">
                  <c:v>12.86</c:v>
                </c:pt>
                <c:pt idx="31">
                  <c:v>13.23</c:v>
                </c:pt>
                <c:pt idx="32">
                  <c:v>13.61</c:v>
                </c:pt>
                <c:pt idx="33">
                  <c:v>14.01</c:v>
                </c:pt>
                <c:pt idx="34">
                  <c:v>14.41</c:v>
                </c:pt>
                <c:pt idx="35">
                  <c:v>14.83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290-495E-BF4C-BA8C60A0CBA2}"/>
            </c:ext>
          </c:extLst>
        </c:ser>
        <c:ser>
          <c:idx val="2"/>
          <c:order val="2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noFill/>
              </a:ln>
              <a:effectLst/>
            </c:spPr>
          </c:marker>
          <c:val>
            <c:numRef>
              <c:f>[insitu_breast_joinpoint_90_15_jews_output.xlsx]Data!$C$38:$C$73</c:f>
              <c:numCache>
                <c:formatCode>General</c:formatCode>
                <c:ptCount val="36"/>
                <c:pt idx="10">
                  <c:v>2.4300000000000002</c:v>
                </c:pt>
                <c:pt idx="11">
                  <c:v>0.75</c:v>
                </c:pt>
                <c:pt idx="12">
                  <c:v>0.69</c:v>
                </c:pt>
                <c:pt idx="13">
                  <c:v>0.86</c:v>
                </c:pt>
                <c:pt idx="14">
                  <c:v>0.74</c:v>
                </c:pt>
                <c:pt idx="15">
                  <c:v>1.36</c:v>
                </c:pt>
                <c:pt idx="16">
                  <c:v>1.9</c:v>
                </c:pt>
                <c:pt idx="17">
                  <c:v>0.81</c:v>
                </c:pt>
                <c:pt idx="18">
                  <c:v>3.3</c:v>
                </c:pt>
                <c:pt idx="19">
                  <c:v>3.71</c:v>
                </c:pt>
                <c:pt idx="20">
                  <c:v>3.25</c:v>
                </c:pt>
                <c:pt idx="21">
                  <c:v>4.22</c:v>
                </c:pt>
                <c:pt idx="22">
                  <c:v>4.6100000000000003</c:v>
                </c:pt>
                <c:pt idx="23">
                  <c:v>2.59</c:v>
                </c:pt>
                <c:pt idx="24">
                  <c:v>5.13</c:v>
                </c:pt>
                <c:pt idx="25">
                  <c:v>3.46</c:v>
                </c:pt>
                <c:pt idx="26">
                  <c:v>6.79</c:v>
                </c:pt>
                <c:pt idx="27">
                  <c:v>5.52</c:v>
                </c:pt>
                <c:pt idx="28">
                  <c:v>6.36</c:v>
                </c:pt>
                <c:pt idx="29">
                  <c:v>4.7699999999999996</c:v>
                </c:pt>
                <c:pt idx="30">
                  <c:v>4.92</c:v>
                </c:pt>
                <c:pt idx="31">
                  <c:v>5.97</c:v>
                </c:pt>
                <c:pt idx="32">
                  <c:v>6.27</c:v>
                </c:pt>
                <c:pt idx="33">
                  <c:v>4.9800000000000004</c:v>
                </c:pt>
                <c:pt idx="34">
                  <c:v>7.39</c:v>
                </c:pt>
                <c:pt idx="35">
                  <c:v>4.55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290-495E-BF4C-BA8C60A0CBA2}"/>
            </c:ext>
          </c:extLst>
        </c:ser>
        <c:ser>
          <c:idx val="3"/>
          <c:order val="3"/>
          <c:tx>
            <c:v>נשים ערביות</c:v>
          </c:tx>
          <c:spPr>
            <a:ln w="2540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val>
            <c:numRef>
              <c:f>[insitu_breast_joinpoint_90_15_jews_output.xlsx]Data!$D$38:$D$73</c:f>
              <c:numCache>
                <c:formatCode>General</c:formatCode>
                <c:ptCount val="36"/>
                <c:pt idx="10">
                  <c:v>1.04</c:v>
                </c:pt>
                <c:pt idx="11">
                  <c:v>1.1599999999999999</c:v>
                </c:pt>
                <c:pt idx="12">
                  <c:v>1.29</c:v>
                </c:pt>
                <c:pt idx="13">
                  <c:v>1.44</c:v>
                </c:pt>
                <c:pt idx="14">
                  <c:v>1.6</c:v>
                </c:pt>
                <c:pt idx="15">
                  <c:v>1.78</c:v>
                </c:pt>
                <c:pt idx="16">
                  <c:v>1.98</c:v>
                </c:pt>
                <c:pt idx="17">
                  <c:v>2.21</c:v>
                </c:pt>
                <c:pt idx="18">
                  <c:v>2.46</c:v>
                </c:pt>
                <c:pt idx="19">
                  <c:v>2.73</c:v>
                </c:pt>
                <c:pt idx="20">
                  <c:v>3.04</c:v>
                </c:pt>
                <c:pt idx="21">
                  <c:v>3.39</c:v>
                </c:pt>
                <c:pt idx="22">
                  <c:v>3.77</c:v>
                </c:pt>
                <c:pt idx="23">
                  <c:v>4.2</c:v>
                </c:pt>
                <c:pt idx="24">
                  <c:v>4.67</c:v>
                </c:pt>
                <c:pt idx="25">
                  <c:v>5.2</c:v>
                </c:pt>
                <c:pt idx="26">
                  <c:v>5.79</c:v>
                </c:pt>
                <c:pt idx="27">
                  <c:v>5.79</c:v>
                </c:pt>
                <c:pt idx="28">
                  <c:v>5.79</c:v>
                </c:pt>
                <c:pt idx="29">
                  <c:v>5.78</c:v>
                </c:pt>
                <c:pt idx="30">
                  <c:v>5.78</c:v>
                </c:pt>
                <c:pt idx="31">
                  <c:v>5.78</c:v>
                </c:pt>
                <c:pt idx="32">
                  <c:v>5.78</c:v>
                </c:pt>
                <c:pt idx="33">
                  <c:v>5.78</c:v>
                </c:pt>
                <c:pt idx="34">
                  <c:v>5.78</c:v>
                </c:pt>
                <c:pt idx="35">
                  <c:v>5.77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B290-495E-BF4C-BA8C60A0CB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714112"/>
        <c:axId val="90716416"/>
      </c:lineChart>
      <c:catAx>
        <c:axId val="907141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e-IL"/>
                  <a:t>שנת</a:t>
                </a:r>
                <a:r>
                  <a:rPr lang="he-IL" baseline="0"/>
                  <a:t> אבחנה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42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90716416"/>
        <c:crosses val="autoZero"/>
        <c:auto val="1"/>
        <c:lblAlgn val="ctr"/>
        <c:lblOffset val="100"/>
        <c:noMultiLvlLbl val="0"/>
      </c:catAx>
      <c:valAx>
        <c:axId val="90716416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e-IL"/>
                  <a:t>שיעור היארעות ל-100,000 מתוקנן לגיל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90714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60195454677281357"/>
          <c:y val="0.82729514579908281"/>
          <c:w val="0.37620140369194183"/>
          <c:h val="5.94508300519155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e-I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e-I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e-IL" sz="1000" b="1" i="0" u="none" strike="noStrike" baseline="0">
                <a:effectLst/>
              </a:rPr>
              <a:t>היארעות (=סיכון) סרטן חודרני של השד לפי קבוות אוכלוסייה וקבוצות גיל, </a:t>
            </a:r>
          </a:p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e-IL" sz="1000" b="1" i="0" u="none" strike="noStrike" baseline="0">
                <a:effectLst/>
              </a:rPr>
              <a:t>ישראל, 2015</a:t>
            </a:r>
            <a:endParaRPr lang="en-US" sz="10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593944403358419"/>
          <c:y val="0.15749529459249159"/>
          <c:w val="0.85873827235683942"/>
          <c:h val="0.6671437296753"/>
        </c:manualLayout>
      </c:layout>
      <c:barChart>
        <c:barDir val="col"/>
        <c:grouping val="clustered"/>
        <c:varyColors val="0"/>
        <c:ser>
          <c:idx val="0"/>
          <c:order val="0"/>
          <c:tx>
            <c:v>נשים יהודיות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'ages invasive'!$A$6:$A$21</c:f>
              <c:strCache>
                <c:ptCount val="16"/>
                <c:pt idx="0">
                  <c:v>under 5</c:v>
                </c:pt>
                <c:pt idx="1">
                  <c:v>5 to 9</c:v>
                </c:pt>
                <c:pt idx="2">
                  <c:v>10 to 14</c:v>
                </c:pt>
                <c:pt idx="3">
                  <c:v>15 to 19</c:v>
                </c:pt>
                <c:pt idx="4">
                  <c:v>20 to 24</c:v>
                </c:pt>
                <c:pt idx="5">
                  <c:v>25 to 29</c:v>
                </c:pt>
                <c:pt idx="6">
                  <c:v>30 to 34</c:v>
                </c:pt>
                <c:pt idx="7">
                  <c:v>35 to 39</c:v>
                </c:pt>
                <c:pt idx="8">
                  <c:v>40 to 44</c:v>
                </c:pt>
                <c:pt idx="9">
                  <c:v>45 to 49</c:v>
                </c:pt>
                <c:pt idx="10">
                  <c:v>50 to 54</c:v>
                </c:pt>
                <c:pt idx="11">
                  <c:v>55 to 59</c:v>
                </c:pt>
                <c:pt idx="12">
                  <c:v>60 to 64</c:v>
                </c:pt>
                <c:pt idx="13">
                  <c:v>65 to 69</c:v>
                </c:pt>
                <c:pt idx="14">
                  <c:v>70 to 74</c:v>
                </c:pt>
                <c:pt idx="15">
                  <c:v>75+</c:v>
                </c:pt>
              </c:strCache>
            </c:strRef>
          </c:cat>
          <c:val>
            <c:numRef>
              <c:f>'ages invasive'!$D$6:$D$21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0.46</c:v>
                </c:pt>
                <c:pt idx="4">
                  <c:v>2.4</c:v>
                </c:pt>
                <c:pt idx="5">
                  <c:v>14.47</c:v>
                </c:pt>
                <c:pt idx="6">
                  <c:v>35.979999999999997</c:v>
                </c:pt>
                <c:pt idx="7">
                  <c:v>76.44</c:v>
                </c:pt>
                <c:pt idx="8">
                  <c:v>142.93</c:v>
                </c:pt>
                <c:pt idx="9">
                  <c:v>223.31</c:v>
                </c:pt>
                <c:pt idx="10">
                  <c:v>249.51</c:v>
                </c:pt>
                <c:pt idx="11">
                  <c:v>283.47000000000003</c:v>
                </c:pt>
                <c:pt idx="12">
                  <c:v>359.7</c:v>
                </c:pt>
                <c:pt idx="13">
                  <c:v>541.86</c:v>
                </c:pt>
                <c:pt idx="14">
                  <c:v>365.82</c:v>
                </c:pt>
                <c:pt idx="15">
                  <c:v>349.51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ED-4E19-8D61-ED764262CC97}"/>
            </c:ext>
          </c:extLst>
        </c:ser>
        <c:ser>
          <c:idx val="1"/>
          <c:order val="1"/>
          <c:tx>
            <c:v>נשים ערביות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'ages invasive'!$A$6:$A$21</c:f>
              <c:strCache>
                <c:ptCount val="16"/>
                <c:pt idx="0">
                  <c:v>under 5</c:v>
                </c:pt>
                <c:pt idx="1">
                  <c:v>5 to 9</c:v>
                </c:pt>
                <c:pt idx="2">
                  <c:v>10 to 14</c:v>
                </c:pt>
                <c:pt idx="3">
                  <c:v>15 to 19</c:v>
                </c:pt>
                <c:pt idx="4">
                  <c:v>20 to 24</c:v>
                </c:pt>
                <c:pt idx="5">
                  <c:v>25 to 29</c:v>
                </c:pt>
                <c:pt idx="6">
                  <c:v>30 to 34</c:v>
                </c:pt>
                <c:pt idx="7">
                  <c:v>35 to 39</c:v>
                </c:pt>
                <c:pt idx="8">
                  <c:v>40 to 44</c:v>
                </c:pt>
                <c:pt idx="9">
                  <c:v>45 to 49</c:v>
                </c:pt>
                <c:pt idx="10">
                  <c:v>50 to 54</c:v>
                </c:pt>
                <c:pt idx="11">
                  <c:v>55 to 59</c:v>
                </c:pt>
                <c:pt idx="12">
                  <c:v>60 to 64</c:v>
                </c:pt>
                <c:pt idx="13">
                  <c:v>65 to 69</c:v>
                </c:pt>
                <c:pt idx="14">
                  <c:v>70 to 74</c:v>
                </c:pt>
                <c:pt idx="15">
                  <c:v>75+</c:v>
                </c:pt>
              </c:strCache>
            </c:strRef>
          </c:cat>
          <c:val>
            <c:numRef>
              <c:f>'ages invasive'!$G$6:$G$21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15.53</c:v>
                </c:pt>
                <c:pt idx="6">
                  <c:v>19.82</c:v>
                </c:pt>
                <c:pt idx="7">
                  <c:v>57.55</c:v>
                </c:pt>
                <c:pt idx="8">
                  <c:v>87.55</c:v>
                </c:pt>
                <c:pt idx="9">
                  <c:v>156.68</c:v>
                </c:pt>
                <c:pt idx="10">
                  <c:v>234.04</c:v>
                </c:pt>
                <c:pt idx="11">
                  <c:v>210.14</c:v>
                </c:pt>
                <c:pt idx="12">
                  <c:v>239.23</c:v>
                </c:pt>
                <c:pt idx="13">
                  <c:v>295.77</c:v>
                </c:pt>
                <c:pt idx="14">
                  <c:v>292.04000000000002</c:v>
                </c:pt>
                <c:pt idx="15">
                  <c:v>214.29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3ED-4E19-8D61-ED764262CC97}"/>
            </c:ext>
          </c:extLst>
        </c:ser>
        <c:ser>
          <c:idx val="2"/>
          <c:order val="2"/>
          <c:tx>
            <c:v>נשים אחרות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'ages invasive'!$A$6:$A$21</c:f>
              <c:strCache>
                <c:ptCount val="16"/>
                <c:pt idx="0">
                  <c:v>under 5</c:v>
                </c:pt>
                <c:pt idx="1">
                  <c:v>5 to 9</c:v>
                </c:pt>
                <c:pt idx="2">
                  <c:v>10 to 14</c:v>
                </c:pt>
                <c:pt idx="3">
                  <c:v>15 to 19</c:v>
                </c:pt>
                <c:pt idx="4">
                  <c:v>20 to 24</c:v>
                </c:pt>
                <c:pt idx="5">
                  <c:v>25 to 29</c:v>
                </c:pt>
                <c:pt idx="6">
                  <c:v>30 to 34</c:v>
                </c:pt>
                <c:pt idx="7">
                  <c:v>35 to 39</c:v>
                </c:pt>
                <c:pt idx="8">
                  <c:v>40 to 44</c:v>
                </c:pt>
                <c:pt idx="9">
                  <c:v>45 to 49</c:v>
                </c:pt>
                <c:pt idx="10">
                  <c:v>50 to 54</c:v>
                </c:pt>
                <c:pt idx="11">
                  <c:v>55 to 59</c:v>
                </c:pt>
                <c:pt idx="12">
                  <c:v>60 to 64</c:v>
                </c:pt>
                <c:pt idx="13">
                  <c:v>65 to 69</c:v>
                </c:pt>
                <c:pt idx="14">
                  <c:v>70 to 74</c:v>
                </c:pt>
                <c:pt idx="15">
                  <c:v>75+</c:v>
                </c:pt>
              </c:strCache>
            </c:strRef>
          </c:cat>
          <c:val>
            <c:numRef>
              <c:f>'ages invasive'!$J$6:$J$21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14.29</c:v>
                </c:pt>
                <c:pt idx="6">
                  <c:v>35.29</c:v>
                </c:pt>
                <c:pt idx="7">
                  <c:v>67.8</c:v>
                </c:pt>
                <c:pt idx="8">
                  <c:v>122.91</c:v>
                </c:pt>
                <c:pt idx="9">
                  <c:v>223.68</c:v>
                </c:pt>
                <c:pt idx="10">
                  <c:v>175.18</c:v>
                </c:pt>
                <c:pt idx="11">
                  <c:v>252.03</c:v>
                </c:pt>
                <c:pt idx="12">
                  <c:v>330.1</c:v>
                </c:pt>
                <c:pt idx="13">
                  <c:v>361.7</c:v>
                </c:pt>
                <c:pt idx="14">
                  <c:v>229.17</c:v>
                </c:pt>
                <c:pt idx="15">
                  <c:v>273.68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3ED-4E19-8D61-ED764262CC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8"/>
        <c:axId val="132193280"/>
        <c:axId val="132199552"/>
      </c:barChart>
      <c:catAx>
        <c:axId val="1321932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e-IL"/>
                  <a:t>קבוצת גיל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132199552"/>
        <c:crosses val="autoZero"/>
        <c:auto val="1"/>
        <c:lblAlgn val="ctr"/>
        <c:lblOffset val="100"/>
        <c:noMultiLvlLbl val="0"/>
      </c:catAx>
      <c:valAx>
        <c:axId val="13219955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e-IL"/>
                  <a:t>שיעור היארעות סגולי לגיל ל-100,000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accent2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132193280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0.16101564652484734"/>
          <c:y val="0.20072179633526074"/>
          <c:w val="0.44316189585417842"/>
          <c:h val="5.94508300519155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e-I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e-I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e-IL" sz="1000" b="1" i="0" u="none" strike="noStrike" baseline="0">
                <a:effectLst/>
              </a:rPr>
              <a:t>היארעות סרטן ממוקד של השד בנשים לפי קבוצת אוכלוסייה וקבוצת גיל, </a:t>
            </a:r>
          </a:p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e-IL" sz="1000" b="1" i="0" u="none" strike="noStrike" baseline="0">
                <a:effectLst/>
              </a:rPr>
              <a:t>ישראל, 2015</a:t>
            </a:r>
            <a:endParaRPr lang="en-US" sz="10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593944403358419"/>
          <c:y val="0.15399943400309635"/>
          <c:w val="0.85873827235683942"/>
          <c:h val="0.68886650796557403"/>
        </c:manualLayout>
      </c:layout>
      <c:barChart>
        <c:barDir val="col"/>
        <c:grouping val="clustered"/>
        <c:varyColors val="0"/>
        <c:ser>
          <c:idx val="0"/>
          <c:order val="0"/>
          <c:tx>
            <c:v>נשים יהודיות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'ages invasive'!$A$6:$A$21</c:f>
              <c:strCache>
                <c:ptCount val="16"/>
                <c:pt idx="0">
                  <c:v>under 5</c:v>
                </c:pt>
                <c:pt idx="1">
                  <c:v>5 to 9</c:v>
                </c:pt>
                <c:pt idx="2">
                  <c:v>10 to 14</c:v>
                </c:pt>
                <c:pt idx="3">
                  <c:v>15 to 19</c:v>
                </c:pt>
                <c:pt idx="4">
                  <c:v>20 to 24</c:v>
                </c:pt>
                <c:pt idx="5">
                  <c:v>25 to 29</c:v>
                </c:pt>
                <c:pt idx="6">
                  <c:v>30 to 34</c:v>
                </c:pt>
                <c:pt idx="7">
                  <c:v>35 to 39</c:v>
                </c:pt>
                <c:pt idx="8">
                  <c:v>40 to 44</c:v>
                </c:pt>
                <c:pt idx="9">
                  <c:v>45 to 49</c:v>
                </c:pt>
                <c:pt idx="10">
                  <c:v>50 to 54</c:v>
                </c:pt>
                <c:pt idx="11">
                  <c:v>55 to 59</c:v>
                </c:pt>
                <c:pt idx="12">
                  <c:v>60 to 64</c:v>
                </c:pt>
                <c:pt idx="13">
                  <c:v>65 to 69</c:v>
                </c:pt>
                <c:pt idx="14">
                  <c:v>70 to 74</c:v>
                </c:pt>
                <c:pt idx="15">
                  <c:v>75+</c:v>
                </c:pt>
              </c:strCache>
            </c:strRef>
          </c:cat>
          <c:val>
            <c:numRef>
              <c:f>'ages insitu'!$C$5:$C$20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0.47</c:v>
                </c:pt>
                <c:pt idx="6">
                  <c:v>1.85</c:v>
                </c:pt>
                <c:pt idx="7">
                  <c:v>7.74</c:v>
                </c:pt>
                <c:pt idx="8">
                  <c:v>27.55</c:v>
                </c:pt>
                <c:pt idx="9">
                  <c:v>27.61</c:v>
                </c:pt>
                <c:pt idx="10">
                  <c:v>54.87</c:v>
                </c:pt>
                <c:pt idx="11">
                  <c:v>46.51</c:v>
                </c:pt>
                <c:pt idx="12">
                  <c:v>56.86</c:v>
                </c:pt>
                <c:pt idx="13">
                  <c:v>92.74</c:v>
                </c:pt>
                <c:pt idx="14">
                  <c:v>38.64</c:v>
                </c:pt>
                <c:pt idx="15">
                  <c:v>28.2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04A-4541-8BDD-2F1533DDF68F}"/>
            </c:ext>
          </c:extLst>
        </c:ser>
        <c:ser>
          <c:idx val="1"/>
          <c:order val="1"/>
          <c:tx>
            <c:v>נשים ערביות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'ages invasive'!$A$6:$A$21</c:f>
              <c:strCache>
                <c:ptCount val="16"/>
                <c:pt idx="0">
                  <c:v>under 5</c:v>
                </c:pt>
                <c:pt idx="1">
                  <c:v>5 to 9</c:v>
                </c:pt>
                <c:pt idx="2">
                  <c:v>10 to 14</c:v>
                </c:pt>
                <c:pt idx="3">
                  <c:v>15 to 19</c:v>
                </c:pt>
                <c:pt idx="4">
                  <c:v>20 to 24</c:v>
                </c:pt>
                <c:pt idx="5">
                  <c:v>25 to 29</c:v>
                </c:pt>
                <c:pt idx="6">
                  <c:v>30 to 34</c:v>
                </c:pt>
                <c:pt idx="7">
                  <c:v>35 to 39</c:v>
                </c:pt>
                <c:pt idx="8">
                  <c:v>40 to 44</c:v>
                </c:pt>
                <c:pt idx="9">
                  <c:v>45 to 49</c:v>
                </c:pt>
                <c:pt idx="10">
                  <c:v>50 to 54</c:v>
                </c:pt>
                <c:pt idx="11">
                  <c:v>55 to 59</c:v>
                </c:pt>
                <c:pt idx="12">
                  <c:v>60 to 64</c:v>
                </c:pt>
                <c:pt idx="13">
                  <c:v>65 to 69</c:v>
                </c:pt>
                <c:pt idx="14">
                  <c:v>70 to 74</c:v>
                </c:pt>
                <c:pt idx="15">
                  <c:v>75+</c:v>
                </c:pt>
              </c:strCache>
            </c:strRef>
          </c:cat>
          <c:val>
            <c:numRef>
              <c:f>'ages insitu'!$E$5:$E$20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1.55</c:v>
                </c:pt>
                <c:pt idx="6">
                  <c:v>1.8</c:v>
                </c:pt>
                <c:pt idx="7">
                  <c:v>7.19</c:v>
                </c:pt>
                <c:pt idx="8">
                  <c:v>3.89</c:v>
                </c:pt>
                <c:pt idx="9">
                  <c:v>4.6100000000000003</c:v>
                </c:pt>
                <c:pt idx="10">
                  <c:v>18.62</c:v>
                </c:pt>
                <c:pt idx="11">
                  <c:v>3.62</c:v>
                </c:pt>
                <c:pt idx="12">
                  <c:v>23.92</c:v>
                </c:pt>
                <c:pt idx="13">
                  <c:v>21.13</c:v>
                </c:pt>
                <c:pt idx="14">
                  <c:v>35.4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04A-4541-8BDD-2F1533DDF68F}"/>
            </c:ext>
          </c:extLst>
        </c:ser>
        <c:ser>
          <c:idx val="2"/>
          <c:order val="2"/>
          <c:tx>
            <c:v>נשים אחרות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'ages invasive'!$A$6:$A$21</c:f>
              <c:strCache>
                <c:ptCount val="16"/>
                <c:pt idx="0">
                  <c:v>under 5</c:v>
                </c:pt>
                <c:pt idx="1">
                  <c:v>5 to 9</c:v>
                </c:pt>
                <c:pt idx="2">
                  <c:v>10 to 14</c:v>
                </c:pt>
                <c:pt idx="3">
                  <c:v>15 to 19</c:v>
                </c:pt>
                <c:pt idx="4">
                  <c:v>20 to 24</c:v>
                </c:pt>
                <c:pt idx="5">
                  <c:v>25 to 29</c:v>
                </c:pt>
                <c:pt idx="6">
                  <c:v>30 to 34</c:v>
                </c:pt>
                <c:pt idx="7">
                  <c:v>35 to 39</c:v>
                </c:pt>
                <c:pt idx="8">
                  <c:v>40 to 44</c:v>
                </c:pt>
                <c:pt idx="9">
                  <c:v>45 to 49</c:v>
                </c:pt>
                <c:pt idx="10">
                  <c:v>50 to 54</c:v>
                </c:pt>
                <c:pt idx="11">
                  <c:v>55 to 59</c:v>
                </c:pt>
                <c:pt idx="12">
                  <c:v>60 to 64</c:v>
                </c:pt>
                <c:pt idx="13">
                  <c:v>65 to 69</c:v>
                </c:pt>
                <c:pt idx="14">
                  <c:v>70 to 74</c:v>
                </c:pt>
                <c:pt idx="15">
                  <c:v>75+</c:v>
                </c:pt>
              </c:strCache>
            </c:strRef>
          </c:cat>
          <c:val>
            <c:numRef>
              <c:f>'ages insitu'!$G$5:$G$20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11.3</c:v>
                </c:pt>
                <c:pt idx="8">
                  <c:v>16.760000000000002</c:v>
                </c:pt>
                <c:pt idx="9">
                  <c:v>26.32</c:v>
                </c:pt>
                <c:pt idx="10">
                  <c:v>7.3</c:v>
                </c:pt>
                <c:pt idx="11">
                  <c:v>32.520000000000003</c:v>
                </c:pt>
                <c:pt idx="12">
                  <c:v>38.83</c:v>
                </c:pt>
                <c:pt idx="13">
                  <c:v>21.28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04A-4541-8BDD-2F1533DDF6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8"/>
        <c:axId val="144589184"/>
        <c:axId val="144591104"/>
      </c:barChart>
      <c:catAx>
        <c:axId val="1445891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e-IL"/>
                  <a:t>קבוצת גיל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144591104"/>
        <c:crosses val="autoZero"/>
        <c:auto val="1"/>
        <c:lblAlgn val="ctr"/>
        <c:lblOffset val="100"/>
        <c:noMultiLvlLbl val="0"/>
      </c:catAx>
      <c:valAx>
        <c:axId val="14459110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e-IL"/>
                  <a:t>שיעור היארעות סגולי לגיל ל-100,000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accent2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144589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022374965560244"/>
          <c:y val="0.20072179633526074"/>
          <c:w val="0.44316189585417842"/>
          <c:h val="5.94508300519155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e-I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e-I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'שיעורי תמותה לפי גיל'!$B$1</c:f>
              <c:strCache>
                <c:ptCount val="1"/>
                <c:pt idx="0">
                  <c:v>Jews</c:v>
                </c:pt>
              </c:strCache>
            </c:strRef>
          </c:tx>
          <c:invertIfNegative val="0"/>
          <c:cat>
            <c:strRef>
              <c:f>'שיעורי תמותה לפי גיל'!$A$2:$A$17</c:f>
              <c:strCache>
                <c:ptCount val="16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75+</c:v>
                </c:pt>
              </c:strCache>
            </c:strRef>
          </c:cat>
          <c:val>
            <c:numRef>
              <c:f>'שיעורי תמותה לפי גיל'!$B$2:$B$17</c:f>
              <c:numCache>
                <c:formatCode>General</c:formatCode>
                <c:ptCount val="1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0.93300000000000005</c:v>
                </c:pt>
                <c:pt idx="6">
                  <c:v>2.3069999999999999</c:v>
                </c:pt>
                <c:pt idx="7">
                  <c:v>8.7080000000000002</c:v>
                </c:pt>
                <c:pt idx="8">
                  <c:v>15.073</c:v>
                </c:pt>
                <c:pt idx="9">
                  <c:v>23.312999999999999</c:v>
                </c:pt>
                <c:pt idx="10">
                  <c:v>35.271000000000001</c:v>
                </c:pt>
                <c:pt idx="11">
                  <c:v>35.198</c:v>
                </c:pt>
                <c:pt idx="12">
                  <c:v>51.884</c:v>
                </c:pt>
                <c:pt idx="13">
                  <c:v>68.754000000000005</c:v>
                </c:pt>
                <c:pt idx="14">
                  <c:v>76.655000000000001</c:v>
                </c:pt>
                <c:pt idx="15">
                  <c:v>190.38800000000001</c:v>
                </c:pt>
              </c:numCache>
            </c:numRef>
          </c:val>
        </c:ser>
        <c:ser>
          <c:idx val="1"/>
          <c:order val="1"/>
          <c:tx>
            <c:strRef>
              <c:f>'שיעורי תמותה לפי גיל'!$C$1</c:f>
              <c:strCache>
                <c:ptCount val="1"/>
                <c:pt idx="0">
                  <c:v>Arabs</c:v>
                </c:pt>
              </c:strCache>
            </c:strRef>
          </c:tx>
          <c:invertIfNegative val="0"/>
          <c:cat>
            <c:strRef>
              <c:f>'שיעורי תמותה לפי גיל'!$A$2:$A$17</c:f>
              <c:strCache>
                <c:ptCount val="16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75+</c:v>
                </c:pt>
              </c:strCache>
            </c:strRef>
          </c:cat>
          <c:val>
            <c:numRef>
              <c:f>'שיעורי תמותה לפי גיל'!$C$2:$C$17</c:f>
              <c:numCache>
                <c:formatCode>General</c:formatCode>
                <c:ptCount val="1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19.783999999999999</c:v>
                </c:pt>
                <c:pt idx="8">
                  <c:v>17.510000000000002</c:v>
                </c:pt>
                <c:pt idx="9">
                  <c:v>23.041</c:v>
                </c:pt>
                <c:pt idx="10">
                  <c:v>50.667000000000002</c:v>
                </c:pt>
                <c:pt idx="11">
                  <c:v>46.930999999999997</c:v>
                </c:pt>
                <c:pt idx="12">
                  <c:v>43.061999999999998</c:v>
                </c:pt>
                <c:pt idx="13">
                  <c:v>77.465000000000003</c:v>
                </c:pt>
                <c:pt idx="14">
                  <c:v>61.947000000000003</c:v>
                </c:pt>
                <c:pt idx="15">
                  <c:v>150.327</c:v>
                </c:pt>
              </c:numCache>
            </c:numRef>
          </c:val>
        </c:ser>
        <c:ser>
          <c:idx val="2"/>
          <c:order val="2"/>
          <c:tx>
            <c:strRef>
              <c:f>'שיעורי תמותה לפי גיל'!$D$1</c:f>
              <c:strCache>
                <c:ptCount val="1"/>
                <c:pt idx="0">
                  <c:v>Others</c:v>
                </c:pt>
              </c:strCache>
            </c:strRef>
          </c:tx>
          <c:invertIfNegative val="0"/>
          <c:cat>
            <c:strRef>
              <c:f>'שיעורי תמותה לפי גיל'!$A$2:$A$17</c:f>
              <c:strCache>
                <c:ptCount val="16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75+</c:v>
                </c:pt>
              </c:strCache>
            </c:strRef>
          </c:cat>
          <c:val>
            <c:numRef>
              <c:f>'שיעורי תמותה לפי גיל'!$D$2:$D$17</c:f>
              <c:numCache>
                <c:formatCode>General</c:formatCode>
                <c:ptCount val="1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5.65</c:v>
                </c:pt>
                <c:pt idx="8">
                  <c:v>11.298999999999999</c:v>
                </c:pt>
                <c:pt idx="9">
                  <c:v>19.867999999999999</c:v>
                </c:pt>
                <c:pt idx="10">
                  <c:v>36.231999999999999</c:v>
                </c:pt>
                <c:pt idx="11">
                  <c:v>32.520000000000003</c:v>
                </c:pt>
                <c:pt idx="12">
                  <c:v>57.692</c:v>
                </c:pt>
                <c:pt idx="13">
                  <c:v>86.022000000000006</c:v>
                </c:pt>
                <c:pt idx="14">
                  <c:v>62.5</c:v>
                </c:pt>
                <c:pt idx="15">
                  <c:v>180.851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872192"/>
        <c:axId val="144874112"/>
      </c:barChart>
      <c:catAx>
        <c:axId val="1448721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Age group (years)</a:t>
                </a:r>
              </a:p>
            </c:rich>
          </c:tx>
          <c:overlay val="0"/>
        </c:title>
        <c:majorTickMark val="out"/>
        <c:minorTickMark val="none"/>
        <c:tickLblPos val="nextTo"/>
        <c:crossAx val="144874112"/>
        <c:crosses val="autoZero"/>
        <c:auto val="1"/>
        <c:lblAlgn val="ctr"/>
        <c:lblOffset val="100"/>
        <c:noMultiLvlLbl val="0"/>
      </c:catAx>
      <c:valAx>
        <c:axId val="14487411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Age-specific breast cancer mortality rate/100,000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48721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e-IL" sz="1000" b="1">
                <a:effectLst/>
              </a:rPr>
              <a:t>מגמות בתמותה מסרטן חודרני של השד, ישראל, 1980-2015</a:t>
            </a:r>
            <a:endParaRPr lang="en-US" sz="1000">
              <a:effectLst/>
            </a:endParaRPr>
          </a:p>
        </c:rich>
      </c:tx>
      <c:layout>
        <c:manualLayout>
          <c:xMode val="edge"/>
          <c:yMode val="edge"/>
          <c:x val="0.22247919113701947"/>
          <c:y val="2.113431875269598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441789562216325"/>
          <c:y val="0.11252634301215493"/>
          <c:w val="0.86019199257551371"/>
          <c:h val="0.75638153122351692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noFill/>
              <a:round/>
            </a:ln>
            <a:effectLst/>
          </c:spPr>
          <c:marker>
            <c:symbol val="square"/>
            <c:size val="5"/>
            <c:spPr>
              <a:solidFill>
                <a:schemeClr val="accent5"/>
              </a:solidFill>
              <a:ln w="9525">
                <a:noFill/>
              </a:ln>
              <a:effectLst/>
            </c:spPr>
          </c:marker>
          <c:cat>
            <c:numRef>
              <c:f>Data!$B$2:$B$37</c:f>
              <c:numCache>
                <c:formatCode>General</c:formatCode>
                <c:ptCount val="36"/>
                <c:pt idx="0">
                  <c:v>1980</c:v>
                </c:pt>
                <c:pt idx="1">
                  <c:v>1981</c:v>
                </c:pt>
                <c:pt idx="2">
                  <c:v>1982</c:v>
                </c:pt>
                <c:pt idx="3">
                  <c:v>1983</c:v>
                </c:pt>
                <c:pt idx="4">
                  <c:v>1984</c:v>
                </c:pt>
                <c:pt idx="5">
                  <c:v>1985</c:v>
                </c:pt>
                <c:pt idx="6">
                  <c:v>1986</c:v>
                </c:pt>
                <c:pt idx="7">
                  <c:v>1987</c:v>
                </c:pt>
                <c:pt idx="8">
                  <c:v>1988</c:v>
                </c:pt>
                <c:pt idx="9">
                  <c:v>1989</c:v>
                </c:pt>
                <c:pt idx="10">
                  <c:v>1990</c:v>
                </c:pt>
                <c:pt idx="11">
                  <c:v>1991</c:v>
                </c:pt>
                <c:pt idx="12">
                  <c:v>1992</c:v>
                </c:pt>
                <c:pt idx="13">
                  <c:v>1993</c:v>
                </c:pt>
                <c:pt idx="14">
                  <c:v>1994</c:v>
                </c:pt>
                <c:pt idx="15">
                  <c:v>1995</c:v>
                </c:pt>
                <c:pt idx="16">
                  <c:v>1996</c:v>
                </c:pt>
                <c:pt idx="17">
                  <c:v>1997</c:v>
                </c:pt>
                <c:pt idx="18">
                  <c:v>1998</c:v>
                </c:pt>
                <c:pt idx="19">
                  <c:v>1999</c:v>
                </c:pt>
                <c:pt idx="20">
                  <c:v>2000</c:v>
                </c:pt>
                <c:pt idx="21">
                  <c:v>2001</c:v>
                </c:pt>
                <c:pt idx="22">
                  <c:v>2002</c:v>
                </c:pt>
                <c:pt idx="23">
                  <c:v>2003</c:v>
                </c:pt>
                <c:pt idx="24">
                  <c:v>2004</c:v>
                </c:pt>
                <c:pt idx="25">
                  <c:v>2005</c:v>
                </c:pt>
                <c:pt idx="26">
                  <c:v>2006</c:v>
                </c:pt>
                <c:pt idx="27">
                  <c:v>2007</c:v>
                </c:pt>
                <c:pt idx="28">
                  <c:v>2008</c:v>
                </c:pt>
                <c:pt idx="29">
                  <c:v>2009</c:v>
                </c:pt>
                <c:pt idx="30">
                  <c:v>2010</c:v>
                </c:pt>
                <c:pt idx="31">
                  <c:v>2011</c:v>
                </c:pt>
                <c:pt idx="32">
                  <c:v>2012</c:v>
                </c:pt>
                <c:pt idx="33">
                  <c:v>2013</c:v>
                </c:pt>
                <c:pt idx="34">
                  <c:v>2014</c:v>
                </c:pt>
                <c:pt idx="35">
                  <c:v>2015</c:v>
                </c:pt>
              </c:numCache>
            </c:numRef>
          </c:cat>
          <c:val>
            <c:numRef>
              <c:f>Data!$C$2:$C$37</c:f>
              <c:numCache>
                <c:formatCode>General</c:formatCode>
                <c:ptCount val="36"/>
                <c:pt idx="0">
                  <c:v>23.68</c:v>
                </c:pt>
                <c:pt idx="1">
                  <c:v>22.37</c:v>
                </c:pt>
                <c:pt idx="2">
                  <c:v>22.48</c:v>
                </c:pt>
                <c:pt idx="3">
                  <c:v>26.87</c:v>
                </c:pt>
                <c:pt idx="4">
                  <c:v>24.91</c:v>
                </c:pt>
                <c:pt idx="5">
                  <c:v>22.6</c:v>
                </c:pt>
                <c:pt idx="6">
                  <c:v>24.42</c:v>
                </c:pt>
                <c:pt idx="7">
                  <c:v>23.48</c:v>
                </c:pt>
                <c:pt idx="8">
                  <c:v>24.47</c:v>
                </c:pt>
                <c:pt idx="9">
                  <c:v>23.21</c:v>
                </c:pt>
                <c:pt idx="10">
                  <c:v>23.36</c:v>
                </c:pt>
                <c:pt idx="11">
                  <c:v>24.8</c:v>
                </c:pt>
                <c:pt idx="12">
                  <c:v>23.71</c:v>
                </c:pt>
                <c:pt idx="13">
                  <c:v>25.77</c:v>
                </c:pt>
                <c:pt idx="14">
                  <c:v>26.46</c:v>
                </c:pt>
                <c:pt idx="15">
                  <c:v>27.32</c:v>
                </c:pt>
                <c:pt idx="16">
                  <c:v>24.72</c:v>
                </c:pt>
                <c:pt idx="17">
                  <c:v>23.81</c:v>
                </c:pt>
                <c:pt idx="18">
                  <c:v>23.62</c:v>
                </c:pt>
                <c:pt idx="19">
                  <c:v>23.49</c:v>
                </c:pt>
                <c:pt idx="20">
                  <c:v>22.81</c:v>
                </c:pt>
                <c:pt idx="21">
                  <c:v>21.14</c:v>
                </c:pt>
                <c:pt idx="22">
                  <c:v>21.37</c:v>
                </c:pt>
                <c:pt idx="23">
                  <c:v>20.399999999999999</c:v>
                </c:pt>
                <c:pt idx="24">
                  <c:v>20.84</c:v>
                </c:pt>
                <c:pt idx="25">
                  <c:v>20.16</c:v>
                </c:pt>
                <c:pt idx="26">
                  <c:v>18.87</c:v>
                </c:pt>
                <c:pt idx="27">
                  <c:v>19.02</c:v>
                </c:pt>
                <c:pt idx="28">
                  <c:v>19.399999999999999</c:v>
                </c:pt>
                <c:pt idx="29">
                  <c:v>17.87</c:v>
                </c:pt>
                <c:pt idx="30">
                  <c:v>18.100000000000001</c:v>
                </c:pt>
                <c:pt idx="31">
                  <c:v>18.27</c:v>
                </c:pt>
                <c:pt idx="32">
                  <c:v>17.89</c:v>
                </c:pt>
                <c:pt idx="33">
                  <c:v>17.309999999999999</c:v>
                </c:pt>
                <c:pt idx="34">
                  <c:v>16.57</c:v>
                </c:pt>
                <c:pt idx="35">
                  <c:v>15.69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CDA-4CA2-8219-604B226F3EFC}"/>
            </c:ext>
          </c:extLst>
        </c:ser>
        <c:ser>
          <c:idx val="1"/>
          <c:order val="1"/>
          <c:tx>
            <c:v>נשים יהודיות</c:v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Data!$B$2:$B$37</c:f>
              <c:numCache>
                <c:formatCode>General</c:formatCode>
                <c:ptCount val="36"/>
                <c:pt idx="0">
                  <c:v>1980</c:v>
                </c:pt>
                <c:pt idx="1">
                  <c:v>1981</c:v>
                </c:pt>
                <c:pt idx="2">
                  <c:v>1982</c:v>
                </c:pt>
                <c:pt idx="3">
                  <c:v>1983</c:v>
                </c:pt>
                <c:pt idx="4">
                  <c:v>1984</c:v>
                </c:pt>
                <c:pt idx="5">
                  <c:v>1985</c:v>
                </c:pt>
                <c:pt idx="6">
                  <c:v>1986</c:v>
                </c:pt>
                <c:pt idx="7">
                  <c:v>1987</c:v>
                </c:pt>
                <c:pt idx="8">
                  <c:v>1988</c:v>
                </c:pt>
                <c:pt idx="9">
                  <c:v>1989</c:v>
                </c:pt>
                <c:pt idx="10">
                  <c:v>1990</c:v>
                </c:pt>
                <c:pt idx="11">
                  <c:v>1991</c:v>
                </c:pt>
                <c:pt idx="12">
                  <c:v>1992</c:v>
                </c:pt>
                <c:pt idx="13">
                  <c:v>1993</c:v>
                </c:pt>
                <c:pt idx="14">
                  <c:v>1994</c:v>
                </c:pt>
                <c:pt idx="15">
                  <c:v>1995</c:v>
                </c:pt>
                <c:pt idx="16">
                  <c:v>1996</c:v>
                </c:pt>
                <c:pt idx="17">
                  <c:v>1997</c:v>
                </c:pt>
                <c:pt idx="18">
                  <c:v>1998</c:v>
                </c:pt>
                <c:pt idx="19">
                  <c:v>1999</c:v>
                </c:pt>
                <c:pt idx="20">
                  <c:v>2000</c:v>
                </c:pt>
                <c:pt idx="21">
                  <c:v>2001</c:v>
                </c:pt>
                <c:pt idx="22">
                  <c:v>2002</c:v>
                </c:pt>
                <c:pt idx="23">
                  <c:v>2003</c:v>
                </c:pt>
                <c:pt idx="24">
                  <c:v>2004</c:v>
                </c:pt>
                <c:pt idx="25">
                  <c:v>2005</c:v>
                </c:pt>
                <c:pt idx="26">
                  <c:v>2006</c:v>
                </c:pt>
                <c:pt idx="27">
                  <c:v>2007</c:v>
                </c:pt>
                <c:pt idx="28">
                  <c:v>2008</c:v>
                </c:pt>
                <c:pt idx="29">
                  <c:v>2009</c:v>
                </c:pt>
                <c:pt idx="30">
                  <c:v>2010</c:v>
                </c:pt>
                <c:pt idx="31">
                  <c:v>2011</c:v>
                </c:pt>
                <c:pt idx="32">
                  <c:v>2012</c:v>
                </c:pt>
                <c:pt idx="33">
                  <c:v>2013</c:v>
                </c:pt>
                <c:pt idx="34">
                  <c:v>2014</c:v>
                </c:pt>
                <c:pt idx="35">
                  <c:v>2015</c:v>
                </c:pt>
              </c:numCache>
            </c:numRef>
          </c:cat>
          <c:val>
            <c:numRef>
              <c:f>Data!$D$2:$D$37</c:f>
              <c:numCache>
                <c:formatCode>General</c:formatCode>
                <c:ptCount val="36"/>
                <c:pt idx="0">
                  <c:v>23.23</c:v>
                </c:pt>
                <c:pt idx="1">
                  <c:v>23.36</c:v>
                </c:pt>
                <c:pt idx="2">
                  <c:v>23.49</c:v>
                </c:pt>
                <c:pt idx="3">
                  <c:v>23.63</c:v>
                </c:pt>
                <c:pt idx="4">
                  <c:v>23.76</c:v>
                </c:pt>
                <c:pt idx="5">
                  <c:v>23.89</c:v>
                </c:pt>
                <c:pt idx="6">
                  <c:v>24.03</c:v>
                </c:pt>
                <c:pt idx="7">
                  <c:v>24.17</c:v>
                </c:pt>
                <c:pt idx="8">
                  <c:v>24.3</c:v>
                </c:pt>
                <c:pt idx="9">
                  <c:v>24.44</c:v>
                </c:pt>
                <c:pt idx="10">
                  <c:v>24.58</c:v>
                </c:pt>
                <c:pt idx="11">
                  <c:v>24.72</c:v>
                </c:pt>
                <c:pt idx="12">
                  <c:v>24.86</c:v>
                </c:pt>
                <c:pt idx="13">
                  <c:v>25</c:v>
                </c:pt>
                <c:pt idx="14">
                  <c:v>25.14</c:v>
                </c:pt>
                <c:pt idx="15">
                  <c:v>25.28</c:v>
                </c:pt>
                <c:pt idx="16">
                  <c:v>24.72</c:v>
                </c:pt>
                <c:pt idx="17">
                  <c:v>24.17</c:v>
                </c:pt>
                <c:pt idx="18">
                  <c:v>23.63</c:v>
                </c:pt>
                <c:pt idx="19">
                  <c:v>23.11</c:v>
                </c:pt>
                <c:pt idx="20">
                  <c:v>22.6</c:v>
                </c:pt>
                <c:pt idx="21">
                  <c:v>22.09</c:v>
                </c:pt>
                <c:pt idx="22">
                  <c:v>21.6</c:v>
                </c:pt>
                <c:pt idx="23">
                  <c:v>21.12</c:v>
                </c:pt>
                <c:pt idx="24">
                  <c:v>20.65</c:v>
                </c:pt>
                <c:pt idx="25">
                  <c:v>20.190000000000001</c:v>
                </c:pt>
                <c:pt idx="26">
                  <c:v>19.739999999999998</c:v>
                </c:pt>
                <c:pt idx="27">
                  <c:v>19.3</c:v>
                </c:pt>
                <c:pt idx="28">
                  <c:v>18.87</c:v>
                </c:pt>
                <c:pt idx="29">
                  <c:v>18.45</c:v>
                </c:pt>
                <c:pt idx="30">
                  <c:v>18.04</c:v>
                </c:pt>
                <c:pt idx="31">
                  <c:v>17.64</c:v>
                </c:pt>
                <c:pt idx="32">
                  <c:v>17.25</c:v>
                </c:pt>
                <c:pt idx="33">
                  <c:v>16.87</c:v>
                </c:pt>
                <c:pt idx="34">
                  <c:v>16.489999999999998</c:v>
                </c:pt>
                <c:pt idx="35">
                  <c:v>16.12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CDA-4CA2-8219-604B226F3EFC}"/>
            </c:ext>
          </c:extLst>
        </c:ser>
        <c:ser>
          <c:idx val="2"/>
          <c:order val="2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noFill/>
              </a:ln>
              <a:effectLst/>
            </c:spPr>
          </c:marker>
          <c:val>
            <c:numRef>
              <c:f>Data!$C$38:$C$73</c:f>
              <c:numCache>
                <c:formatCode>General</c:formatCode>
                <c:ptCount val="36"/>
                <c:pt idx="0">
                  <c:v>8.4700000000000006</c:v>
                </c:pt>
                <c:pt idx="1">
                  <c:v>8.69</c:v>
                </c:pt>
                <c:pt idx="2">
                  <c:v>9.86</c:v>
                </c:pt>
                <c:pt idx="3">
                  <c:v>14.5</c:v>
                </c:pt>
                <c:pt idx="4">
                  <c:v>10.28</c:v>
                </c:pt>
                <c:pt idx="5">
                  <c:v>11.66</c:v>
                </c:pt>
                <c:pt idx="6">
                  <c:v>8.25</c:v>
                </c:pt>
                <c:pt idx="7">
                  <c:v>13.39</c:v>
                </c:pt>
                <c:pt idx="8">
                  <c:v>13.61</c:v>
                </c:pt>
                <c:pt idx="9">
                  <c:v>11.59</c:v>
                </c:pt>
                <c:pt idx="10">
                  <c:v>14.71</c:v>
                </c:pt>
                <c:pt idx="11">
                  <c:v>16.53</c:v>
                </c:pt>
                <c:pt idx="12">
                  <c:v>15.11</c:v>
                </c:pt>
                <c:pt idx="13">
                  <c:v>10.79</c:v>
                </c:pt>
                <c:pt idx="14">
                  <c:v>13.31</c:v>
                </c:pt>
                <c:pt idx="15">
                  <c:v>14.71</c:v>
                </c:pt>
                <c:pt idx="16">
                  <c:v>17.12</c:v>
                </c:pt>
                <c:pt idx="17">
                  <c:v>15.66</c:v>
                </c:pt>
                <c:pt idx="18">
                  <c:v>10.41</c:v>
                </c:pt>
                <c:pt idx="19">
                  <c:v>11.57</c:v>
                </c:pt>
                <c:pt idx="20">
                  <c:v>17.690000000000001</c:v>
                </c:pt>
                <c:pt idx="21">
                  <c:v>20.6</c:v>
                </c:pt>
                <c:pt idx="22">
                  <c:v>15.38</c:v>
                </c:pt>
                <c:pt idx="23">
                  <c:v>14.45</c:v>
                </c:pt>
                <c:pt idx="24">
                  <c:v>13.63</c:v>
                </c:pt>
                <c:pt idx="25">
                  <c:v>16.170000000000002</c:v>
                </c:pt>
                <c:pt idx="26">
                  <c:v>13.58</c:v>
                </c:pt>
                <c:pt idx="27">
                  <c:v>17.86</c:v>
                </c:pt>
                <c:pt idx="28">
                  <c:v>15.92</c:v>
                </c:pt>
                <c:pt idx="29">
                  <c:v>12.03</c:v>
                </c:pt>
                <c:pt idx="30">
                  <c:v>11.81</c:v>
                </c:pt>
                <c:pt idx="31">
                  <c:v>13.56</c:v>
                </c:pt>
                <c:pt idx="32">
                  <c:v>11.48</c:v>
                </c:pt>
                <c:pt idx="33">
                  <c:v>17.239999999999998</c:v>
                </c:pt>
                <c:pt idx="34">
                  <c:v>13.96</c:v>
                </c:pt>
                <c:pt idx="35">
                  <c:v>16.32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1CDA-4CA2-8219-604B226F3EFC}"/>
            </c:ext>
          </c:extLst>
        </c:ser>
        <c:ser>
          <c:idx val="3"/>
          <c:order val="3"/>
          <c:tx>
            <c:v>נשים ערביות</c:v>
          </c:tx>
          <c:spPr>
            <a:ln w="25400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val>
            <c:numRef>
              <c:f>Data!$D$38:$D$73</c:f>
              <c:numCache>
                <c:formatCode>General</c:formatCode>
                <c:ptCount val="36"/>
                <c:pt idx="0">
                  <c:v>11.12</c:v>
                </c:pt>
                <c:pt idx="1">
                  <c:v>11.24</c:v>
                </c:pt>
                <c:pt idx="2">
                  <c:v>11.36</c:v>
                </c:pt>
                <c:pt idx="3">
                  <c:v>11.48</c:v>
                </c:pt>
                <c:pt idx="4">
                  <c:v>11.6</c:v>
                </c:pt>
                <c:pt idx="5">
                  <c:v>11.72</c:v>
                </c:pt>
                <c:pt idx="6">
                  <c:v>11.84</c:v>
                </c:pt>
                <c:pt idx="7">
                  <c:v>11.96</c:v>
                </c:pt>
                <c:pt idx="8">
                  <c:v>12.09</c:v>
                </c:pt>
                <c:pt idx="9">
                  <c:v>12.22</c:v>
                </c:pt>
                <c:pt idx="10">
                  <c:v>12.35</c:v>
                </c:pt>
                <c:pt idx="11">
                  <c:v>12.47</c:v>
                </c:pt>
                <c:pt idx="12">
                  <c:v>12.61</c:v>
                </c:pt>
                <c:pt idx="13">
                  <c:v>12.74</c:v>
                </c:pt>
                <c:pt idx="14">
                  <c:v>12.87</c:v>
                </c:pt>
                <c:pt idx="15">
                  <c:v>13.01</c:v>
                </c:pt>
                <c:pt idx="16">
                  <c:v>13.14</c:v>
                </c:pt>
                <c:pt idx="17">
                  <c:v>13.28</c:v>
                </c:pt>
                <c:pt idx="18">
                  <c:v>13.42</c:v>
                </c:pt>
                <c:pt idx="19">
                  <c:v>13.56</c:v>
                </c:pt>
                <c:pt idx="20">
                  <c:v>13.7</c:v>
                </c:pt>
                <c:pt idx="21">
                  <c:v>13.85</c:v>
                </c:pt>
                <c:pt idx="22">
                  <c:v>13.99</c:v>
                </c:pt>
                <c:pt idx="23">
                  <c:v>14.14</c:v>
                </c:pt>
                <c:pt idx="24">
                  <c:v>14.29</c:v>
                </c:pt>
                <c:pt idx="25">
                  <c:v>14.44</c:v>
                </c:pt>
                <c:pt idx="26">
                  <c:v>14.59</c:v>
                </c:pt>
                <c:pt idx="27">
                  <c:v>14.74</c:v>
                </c:pt>
                <c:pt idx="28">
                  <c:v>14.9</c:v>
                </c:pt>
                <c:pt idx="29">
                  <c:v>15.05</c:v>
                </c:pt>
                <c:pt idx="30">
                  <c:v>15.21</c:v>
                </c:pt>
                <c:pt idx="31">
                  <c:v>15.37</c:v>
                </c:pt>
                <c:pt idx="32">
                  <c:v>15.53</c:v>
                </c:pt>
                <c:pt idx="33">
                  <c:v>15.7</c:v>
                </c:pt>
                <c:pt idx="34">
                  <c:v>15.86</c:v>
                </c:pt>
                <c:pt idx="35">
                  <c:v>16.03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1CDA-4CA2-8219-604B226F3E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944832"/>
        <c:axId val="135951104"/>
      </c:lineChart>
      <c:catAx>
        <c:axId val="1359448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e-IL"/>
                  <a:t>שנת פטירה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42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135951104"/>
        <c:crosses val="autoZero"/>
        <c:auto val="1"/>
        <c:lblAlgn val="ctr"/>
        <c:lblOffset val="100"/>
        <c:noMultiLvlLbl val="0"/>
      </c:catAx>
      <c:valAx>
        <c:axId val="13595110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e-IL"/>
                  <a:t>שיעור תמותה ל-100,000 מתוקנן לגיל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accent5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135944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58584036629399228"/>
          <c:y val="0.76780988073161627"/>
          <c:w val="0.37620140369194183"/>
          <c:h val="5.94508300519155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e-I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e-I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9183261185071269"/>
          <c:y val="2.8247723678044949E-2"/>
          <c:w val="0.66004652528032448"/>
          <c:h val="0.89040975058901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'[812017301x1g026.xlsx]Data3.21'!$B$40</c:f>
              <c:strCache>
                <c:ptCount val="1"/>
                <c:pt idx="0">
                  <c:v>Women</c:v>
                </c:pt>
              </c:strCache>
            </c:strRef>
          </c:tx>
          <c:spPr>
            <a:solidFill>
              <a:schemeClr val="tx2"/>
            </a:solidFill>
            <a:ln>
              <a:solidFill>
                <a:schemeClr val="tx2"/>
              </a:solidFill>
            </a:ln>
          </c:spPr>
          <c:invertIfNegative val="0"/>
          <c:dPt>
            <c:idx val="5"/>
            <c:invertIfNegative val="0"/>
            <c:bubble3D val="0"/>
            <c:spPr>
              <a:solidFill>
                <a:srgbClr val="1F497D"/>
              </a:solidFill>
              <a:ln>
                <a:solidFill>
                  <a:srgbClr val="1F497D"/>
                </a:solidFill>
              </a:ln>
            </c:spPr>
          </c:dPt>
          <c:dPt>
            <c:idx val="16"/>
            <c:invertIfNegative val="0"/>
            <c:bubble3D val="0"/>
            <c:spPr>
              <a:solidFill>
                <a:srgbClr val="C0504D"/>
              </a:solidFill>
              <a:ln>
                <a:solidFill>
                  <a:srgbClr val="C0504D"/>
                </a:solidFill>
              </a:ln>
            </c:spPr>
          </c:dPt>
          <c:dLbls>
            <c:dLbl>
              <c:idx val="16"/>
              <c:numFmt formatCode="#,##0.0" sourceLinked="0"/>
              <c:spPr/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he-I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he-I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'[812017301x1g026.xlsx]Data3.21'!$A$41:$A$75</c:f>
              <c:strCache>
                <c:ptCount val="35"/>
                <c:pt idx="0">
                  <c:v>Chile</c:v>
                </c:pt>
                <c:pt idx="1">
                  <c:v>Mexico</c:v>
                </c:pt>
                <c:pt idx="2">
                  <c:v>Turkey</c:v>
                </c:pt>
                <c:pt idx="3">
                  <c:v>Greece</c:v>
                </c:pt>
                <c:pt idx="4">
                  <c:v>Japan</c:v>
                </c:pt>
                <c:pt idx="5">
                  <c:v>Estonia</c:v>
                </c:pt>
                <c:pt idx="6">
                  <c:v>Poland</c:v>
                </c:pt>
                <c:pt idx="7">
                  <c:v>Korea</c:v>
                </c:pt>
                <c:pt idx="8">
                  <c:v>Hungary</c:v>
                </c:pt>
                <c:pt idx="9">
                  <c:v>Slovak Rep.</c:v>
                </c:pt>
                <c:pt idx="10">
                  <c:v>Slovenia</c:v>
                </c:pt>
                <c:pt idx="11">
                  <c:v>Spain</c:v>
                </c:pt>
                <c:pt idx="12">
                  <c:v>Portugal</c:v>
                </c:pt>
                <c:pt idx="13">
                  <c:v>Austria</c:v>
                </c:pt>
                <c:pt idx="14">
                  <c:v>Czech Rep.</c:v>
                </c:pt>
                <c:pt idx="15">
                  <c:v>Norway</c:v>
                </c:pt>
                <c:pt idx="16">
                  <c:v>OECD34</c:v>
                </c:pt>
                <c:pt idx="17">
                  <c:v>Canada</c:v>
                </c:pt>
                <c:pt idx="18">
                  <c:v>Sweden</c:v>
                </c:pt>
                <c:pt idx="19">
                  <c:v>Israel</c:v>
                </c:pt>
                <c:pt idx="20">
                  <c:v>Switzerland</c:v>
                </c:pt>
                <c:pt idx="21">
                  <c:v>New Zealand</c:v>
                </c:pt>
                <c:pt idx="22">
                  <c:v>Australia</c:v>
                </c:pt>
                <c:pt idx="23">
                  <c:v>Luxembourg</c:v>
                </c:pt>
                <c:pt idx="24">
                  <c:v>Finland</c:v>
                </c:pt>
                <c:pt idx="25">
                  <c:v>France</c:v>
                </c:pt>
                <c:pt idx="26">
                  <c:v>Italy</c:v>
                </c:pt>
                <c:pt idx="27">
                  <c:v>Germany</c:v>
                </c:pt>
                <c:pt idx="28">
                  <c:v>Ireland</c:v>
                </c:pt>
                <c:pt idx="29">
                  <c:v>United States</c:v>
                </c:pt>
                <c:pt idx="30">
                  <c:v>United Kingdom</c:v>
                </c:pt>
                <c:pt idx="31">
                  <c:v>Iceland</c:v>
                </c:pt>
                <c:pt idx="32">
                  <c:v>Netherlands</c:v>
                </c:pt>
                <c:pt idx="33">
                  <c:v>Denmark</c:v>
                </c:pt>
                <c:pt idx="34">
                  <c:v>Belgium</c:v>
                </c:pt>
              </c:strCache>
            </c:strRef>
          </c:cat>
          <c:val>
            <c:numRef>
              <c:f>'[812017301x1g026.xlsx]Data3.21'!$B$41:$B$75</c:f>
              <c:numCache>
                <c:formatCode>0.0</c:formatCode>
                <c:ptCount val="35"/>
                <c:pt idx="0">
                  <c:v>34.799999999999997</c:v>
                </c:pt>
                <c:pt idx="1">
                  <c:v>35.4</c:v>
                </c:pt>
                <c:pt idx="2">
                  <c:v>39.1</c:v>
                </c:pt>
                <c:pt idx="3">
                  <c:v>43.9</c:v>
                </c:pt>
                <c:pt idx="4">
                  <c:v>51.5</c:v>
                </c:pt>
                <c:pt idx="5">
                  <c:v>51.6</c:v>
                </c:pt>
                <c:pt idx="6">
                  <c:v>51.9</c:v>
                </c:pt>
                <c:pt idx="7">
                  <c:v>52.1</c:v>
                </c:pt>
                <c:pt idx="8">
                  <c:v>54.5</c:v>
                </c:pt>
                <c:pt idx="9">
                  <c:v>57.5</c:v>
                </c:pt>
                <c:pt idx="10">
                  <c:v>66.5</c:v>
                </c:pt>
                <c:pt idx="11">
                  <c:v>67.3</c:v>
                </c:pt>
                <c:pt idx="12">
                  <c:v>67.599999999999994</c:v>
                </c:pt>
                <c:pt idx="13">
                  <c:v>68</c:v>
                </c:pt>
                <c:pt idx="14">
                  <c:v>70.3</c:v>
                </c:pt>
                <c:pt idx="15">
                  <c:v>73.099999999999994</c:v>
                </c:pt>
                <c:pt idx="16">
                  <c:v>74.21764705882353</c:v>
                </c:pt>
                <c:pt idx="17">
                  <c:v>79.8</c:v>
                </c:pt>
                <c:pt idx="18">
                  <c:v>80.400000000000006</c:v>
                </c:pt>
                <c:pt idx="19">
                  <c:v>80.5</c:v>
                </c:pt>
                <c:pt idx="20">
                  <c:v>83.1</c:v>
                </c:pt>
                <c:pt idx="21">
                  <c:v>85</c:v>
                </c:pt>
                <c:pt idx="22">
                  <c:v>86</c:v>
                </c:pt>
                <c:pt idx="23">
                  <c:v>89.1</c:v>
                </c:pt>
                <c:pt idx="24">
                  <c:v>89.4</c:v>
                </c:pt>
                <c:pt idx="25">
                  <c:v>89.7</c:v>
                </c:pt>
                <c:pt idx="26">
                  <c:v>91.3</c:v>
                </c:pt>
                <c:pt idx="27">
                  <c:v>91.6</c:v>
                </c:pt>
                <c:pt idx="28">
                  <c:v>92.3</c:v>
                </c:pt>
                <c:pt idx="29">
                  <c:v>92.9</c:v>
                </c:pt>
                <c:pt idx="30">
                  <c:v>95</c:v>
                </c:pt>
                <c:pt idx="31">
                  <c:v>96.3</c:v>
                </c:pt>
                <c:pt idx="32">
                  <c:v>99</c:v>
                </c:pt>
                <c:pt idx="33">
                  <c:v>105</c:v>
                </c:pt>
                <c:pt idx="34">
                  <c:v>111.9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443904"/>
        <c:axId val="84445440"/>
      </c:barChart>
      <c:catAx>
        <c:axId val="844439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e-IL"/>
          </a:p>
        </c:txPr>
        <c:crossAx val="84445440"/>
        <c:crosses val="autoZero"/>
        <c:auto val="1"/>
        <c:lblAlgn val="ctr"/>
        <c:lblOffset val="100"/>
        <c:tickLblSkip val="1"/>
        <c:noMultiLvlLbl val="0"/>
      </c:catAx>
      <c:valAx>
        <c:axId val="84445440"/>
        <c:scaling>
          <c:orientation val="minMax"/>
          <c:max val="120"/>
          <c:min val="0"/>
        </c:scaling>
        <c:delete val="0"/>
        <c:axPos val="b"/>
        <c:majorGridlines>
          <c:spPr>
            <a:ln>
              <a:solidFill>
                <a:schemeClr val="bg1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GB"/>
                  <a:t>Age-standardised rates per 100 000 population</a:t>
                </a:r>
              </a:p>
            </c:rich>
          </c:tx>
          <c:layout>
            <c:manualLayout>
              <c:xMode val="edge"/>
              <c:yMode val="edge"/>
              <c:x val="0.24005776675175877"/>
              <c:y val="0.95995060962207313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he-IL"/>
          </a:p>
        </c:txPr>
        <c:crossAx val="84443904"/>
        <c:crosses val="autoZero"/>
        <c:crossBetween val="between"/>
        <c:majorUnit val="25"/>
      </c:valAx>
      <c:spPr>
        <a:solidFill>
          <a:schemeClr val="bg1">
            <a:lumMod val="95000"/>
          </a:schemeClr>
        </a:solidFill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he-IL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0.45856</cdr:x>
      <cdr:y>0.22374</cdr:y>
    </cdr:from>
    <cdr:to>
      <cdr:x>0.46201</cdr:x>
      <cdr:y>0.90601</cdr:y>
    </cdr:to>
    <cdr:cxnSp macro="">
      <cdr:nvCxnSpPr>
        <cdr:cNvPr id="3" name="Straight Connector 2"/>
        <cdr:cNvCxnSpPr/>
      </cdr:nvCxnSpPr>
      <cdr:spPr>
        <a:xfrm xmlns:a="http://schemas.openxmlformats.org/drawingml/2006/main">
          <a:off x="2529840" y="746760"/>
          <a:ext cx="19027" cy="2277096"/>
        </a:xfrm>
        <a:prstGeom xmlns:a="http://schemas.openxmlformats.org/drawingml/2006/main" prst="line">
          <a:avLst/>
        </a:prstGeom>
        <a:ln xmlns:a="http://schemas.openxmlformats.org/drawingml/2006/main" w="19050"/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0.10843</cdr:x>
      <cdr:y>0.226</cdr:y>
    </cdr:from>
    <cdr:to>
      <cdr:x>0.45891</cdr:x>
      <cdr:y>0.34221</cdr:y>
    </cdr:to>
    <cdr:sp macro="" textlink="">
      <cdr:nvSpPr>
        <cdr:cNvPr id="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98180" y="754289"/>
          <a:ext cx="1933556" cy="387863"/>
        </a:xfrm>
        <a:prstGeom xmlns:a="http://schemas.openxmlformats.org/drawingml/2006/main" prst="rect">
          <a:avLst/>
        </a:prstGeom>
        <a:ln xmlns:a="http://schemas.openxmlformats.org/drawingml/2006/main">
          <a:headEnd/>
          <a:tailEnd/>
        </a:ln>
      </cdr:spPr>
      <cdr:style>
        <a:lnRef xmlns:a="http://schemas.openxmlformats.org/drawingml/2006/main" idx="2">
          <a:schemeClr val="accent2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vert="horz" wrap="square" lIns="91440" tIns="45720" rIns="91440" bIns="45720" anchor="t" anchorCtr="0">
          <a:spAutoFit/>
        </a:bodyPr>
        <a:lstStyle xmlns:a="http://schemas.openxmlformats.org/drawingml/2006/main"/>
        <a:p xmlns:a="http://schemas.openxmlformats.org/drawingml/2006/main">
          <a:pPr algn="ctr">
            <a:spcAft>
              <a:spcPts val="0"/>
            </a:spcAft>
          </a:pPr>
          <a:r>
            <a:rPr lang="he-IL" sz="1000" b="0" i="0" kern="50">
              <a:solidFill>
                <a:schemeClr val="accent2"/>
              </a:solidFill>
              <a:effectLst/>
              <a:latin typeface="Times New Roman" panose="02020603050405020304" pitchFamily="18" charset="0"/>
              <a:ea typeface="Arial" panose="020B0604020202020204" pitchFamily="34" charset="0"/>
            </a:rPr>
            <a:t>השקת התכנית הלאומית לגילוי מוקדם של סרטן השד בישראל</a:t>
          </a:r>
          <a:endParaRPr lang="en-US" sz="1000" b="0" i="0" kern="50">
            <a:solidFill>
              <a:schemeClr val="accent2"/>
            </a:solidFill>
            <a:effectLst/>
            <a:latin typeface="Times New Roman" panose="02020603050405020304" pitchFamily="18" charset="0"/>
            <a:ea typeface="Arial" panose="020B060402020202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DF9A8-4388-4BC6-8E5A-41BCC74D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1917</Words>
  <Characters>9588</Characters>
  <Application>Microsoft Office Word</Application>
  <DocSecurity>0</DocSecurity>
  <Lines>79</Lines>
  <Paragraphs>22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Health.gov.il</Company>
  <LinksUpToDate>false</LinksUpToDate>
  <CharactersWithSpaces>11483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Lital Keinan</dc:creator>
  <cp:lastModifiedBy>Ziv Douchan</cp:lastModifiedBy>
  <cp:revision>2</cp:revision>
  <cp:lastPrinted>2014-10-01T04:31:00Z</cp:lastPrinted>
  <dcterms:created xsi:type="dcterms:W3CDTF">2018-09-13T10:43:00Z</dcterms:created>
  <dcterms:modified xsi:type="dcterms:W3CDTF">2018-09-13T10:43:00Z</dcterms:modified>
</cp:coreProperties>
</file>