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D0" w:rsidRDefault="008C13D0" w:rsidP="008C13D0">
      <w:pPr>
        <w:pStyle w:val="HeadHatzaotHok"/>
        <w:jc w:val="right"/>
        <w:rPr>
          <w:b w:val="0"/>
          <w:bCs w:val="0"/>
          <w:szCs w:val="20"/>
        </w:rPr>
      </w:pPr>
      <w:r>
        <w:rPr>
          <w:b w:val="0"/>
          <w:bCs w:val="0"/>
          <w:szCs w:val="20"/>
          <w:rtl/>
        </w:rPr>
        <w:t xml:space="preserve">מספר פנימי: </w:t>
      </w:r>
      <w:bookmarkStart w:id="0" w:name="LGS_Internal_ID"/>
      <w:r>
        <w:rPr>
          <w:b w:val="0"/>
          <w:bCs w:val="0"/>
          <w:szCs w:val="20"/>
          <w:rtl/>
        </w:rPr>
        <w:t>2004428</w:t>
      </w:r>
      <w:bookmarkEnd w:id="0"/>
    </w:p>
    <w:p w:rsidR="008C13D0" w:rsidRDefault="008C13D0" w:rsidP="008C13D0">
      <w:pPr>
        <w:pStyle w:val="HeadHatzaotHok"/>
        <w:rPr>
          <w:sz w:val="28"/>
          <w:szCs w:val="28"/>
        </w:rPr>
      </w:pPr>
      <w:r>
        <w:rPr>
          <w:sz w:val="28"/>
          <w:szCs w:val="28"/>
          <w:rtl/>
        </w:rPr>
        <w:t xml:space="preserve">הכנסת </w:t>
      </w:r>
      <w:bookmarkStart w:id="1" w:name="LGS_Knesset_Num"/>
      <w:r>
        <w:rPr>
          <w:sz w:val="28"/>
          <w:szCs w:val="28"/>
          <w:rtl/>
        </w:rPr>
        <w:t>העשרים</w:t>
      </w:r>
      <w:bookmarkEnd w:id="1"/>
    </w:p>
    <w:p w:rsidR="008C13D0" w:rsidRDefault="008C13D0" w:rsidP="008C13D0">
      <w:pPr>
        <w:rPr>
          <w:rFonts w:cs="David"/>
          <w:b/>
          <w:bCs/>
          <w:sz w:val="26"/>
          <w:szCs w:val="26"/>
          <w:rtl/>
        </w:rPr>
      </w:pPr>
    </w:p>
    <w:p w:rsidR="008C13D0" w:rsidRDefault="008C13D0" w:rsidP="004701EF">
      <w:pPr>
        <w:pStyle w:val="David"/>
        <w:spacing w:line="360" w:lineRule="auto"/>
        <w:ind w:left="3544"/>
        <w:rPr>
          <w:b/>
          <w:bCs/>
          <w:sz w:val="16"/>
          <w:szCs w:val="16"/>
          <w:rtl/>
        </w:rPr>
      </w:pPr>
      <w:bookmarkStart w:id="2" w:name="LGS_Initiators_List"/>
      <w:r>
        <w:rPr>
          <w:rFonts w:hint="cs"/>
          <w:b/>
          <w:bCs/>
          <w:rtl/>
        </w:rPr>
        <w:t>יוזמים</w:t>
      </w:r>
      <w:r>
        <w:rPr>
          <w:b/>
          <w:bCs/>
          <w:rtl/>
        </w:rPr>
        <w:t xml:space="preserve">:      </w:t>
      </w:r>
      <w:r>
        <w:rPr>
          <w:rFonts w:hint="cs"/>
          <w:b/>
          <w:bCs/>
          <w:rtl/>
        </w:rPr>
        <w:t>חברי</w:t>
      </w:r>
      <w:r>
        <w:rPr>
          <w:b/>
          <w:bCs/>
          <w:rtl/>
        </w:rPr>
        <w:t xml:space="preserve"> </w:t>
      </w:r>
      <w:r>
        <w:rPr>
          <w:rFonts w:hint="cs"/>
          <w:b/>
          <w:bCs/>
          <w:rtl/>
        </w:rPr>
        <w:t>הכנסת</w:t>
      </w:r>
      <w:bookmarkEnd w:id="2"/>
      <w:r>
        <w:rPr>
          <w:b/>
          <w:bCs/>
        </w:rPr>
        <w:tab/>
      </w:r>
      <w:bookmarkStart w:id="3" w:name="LGS_PM_Names"/>
      <w:r>
        <w:rPr>
          <w:rFonts w:hint="cs"/>
          <w:b/>
          <w:bCs/>
          <w:rtl/>
        </w:rPr>
        <w:t>עליזה</w:t>
      </w:r>
      <w:r>
        <w:rPr>
          <w:b/>
          <w:bCs/>
          <w:rtl/>
        </w:rPr>
        <w:t xml:space="preserve"> </w:t>
      </w:r>
      <w:r>
        <w:rPr>
          <w:rFonts w:hint="cs"/>
          <w:b/>
          <w:bCs/>
          <w:rtl/>
        </w:rPr>
        <w:t>לביא</w:t>
      </w:r>
      <w:r>
        <w:br/>
      </w:r>
      <w:r>
        <w:rPr>
          <w:b/>
          <w:bCs/>
          <w:rtl/>
        </w:rPr>
        <w:t xml:space="preserve"> </w:t>
      </w:r>
      <w:r>
        <w:tab/>
      </w:r>
      <w:r>
        <w:tab/>
      </w:r>
      <w:r>
        <w:tab/>
      </w:r>
      <w:r>
        <w:tab/>
      </w:r>
      <w:r>
        <w:rPr>
          <w:rFonts w:hint="cs"/>
          <w:b/>
          <w:bCs/>
          <w:rtl/>
        </w:rPr>
        <w:t>זאב</w:t>
      </w:r>
      <w:r>
        <w:rPr>
          <w:b/>
          <w:bCs/>
          <w:rtl/>
        </w:rPr>
        <w:t xml:space="preserve"> </w:t>
      </w:r>
      <w:r>
        <w:rPr>
          <w:rFonts w:hint="cs"/>
          <w:b/>
          <w:bCs/>
          <w:rtl/>
        </w:rPr>
        <w:t>בנימין</w:t>
      </w:r>
      <w:r>
        <w:rPr>
          <w:b/>
          <w:bCs/>
          <w:rtl/>
        </w:rPr>
        <w:t xml:space="preserve"> </w:t>
      </w:r>
      <w:r>
        <w:rPr>
          <w:rFonts w:hint="cs"/>
          <w:b/>
          <w:bCs/>
          <w:rtl/>
        </w:rPr>
        <w:t>בגין</w:t>
      </w:r>
      <w:r>
        <w:br/>
      </w:r>
      <w:r>
        <w:rPr>
          <w:b/>
          <w:bCs/>
          <w:rtl/>
        </w:rPr>
        <w:t xml:space="preserve"> </w:t>
      </w:r>
      <w:r>
        <w:tab/>
      </w:r>
      <w:r>
        <w:tab/>
      </w:r>
      <w:r>
        <w:tab/>
      </w:r>
      <w:r>
        <w:tab/>
      </w:r>
      <w:r>
        <w:rPr>
          <w:rFonts w:hint="cs"/>
          <w:b/>
          <w:bCs/>
          <w:rtl/>
        </w:rPr>
        <w:t>יהודה</w:t>
      </w:r>
      <w:r>
        <w:rPr>
          <w:b/>
          <w:bCs/>
          <w:rtl/>
        </w:rPr>
        <w:t xml:space="preserve"> </w:t>
      </w:r>
      <w:r>
        <w:rPr>
          <w:rFonts w:hint="cs"/>
          <w:b/>
          <w:bCs/>
          <w:rtl/>
        </w:rPr>
        <w:t>גליק</w:t>
      </w:r>
      <w:r>
        <w:br/>
      </w:r>
      <w:r>
        <w:rPr>
          <w:b/>
          <w:bCs/>
          <w:rtl/>
        </w:rPr>
        <w:t xml:space="preserve"> </w:t>
      </w:r>
      <w:r>
        <w:tab/>
      </w:r>
      <w:r>
        <w:tab/>
      </w:r>
      <w:r>
        <w:tab/>
      </w:r>
      <w:r>
        <w:tab/>
      </w:r>
      <w:r>
        <w:rPr>
          <w:rFonts w:hint="cs"/>
          <w:b/>
          <w:bCs/>
          <w:rtl/>
        </w:rPr>
        <w:t>מיקי</w:t>
      </w:r>
      <w:r>
        <w:rPr>
          <w:b/>
          <w:bCs/>
          <w:rtl/>
        </w:rPr>
        <w:t xml:space="preserve"> </w:t>
      </w:r>
      <w:r>
        <w:rPr>
          <w:rFonts w:hint="cs"/>
          <w:b/>
          <w:bCs/>
          <w:rtl/>
        </w:rPr>
        <w:t>לוי</w:t>
      </w:r>
      <w:r>
        <w:br/>
      </w:r>
      <w:r>
        <w:rPr>
          <w:b/>
          <w:bCs/>
          <w:rtl/>
        </w:rPr>
        <w:t xml:space="preserve"> </w:t>
      </w:r>
      <w:r>
        <w:tab/>
      </w:r>
      <w:r>
        <w:tab/>
      </w:r>
      <w:r>
        <w:tab/>
      </w:r>
      <w:r>
        <w:tab/>
      </w:r>
      <w:r>
        <w:rPr>
          <w:rFonts w:hint="cs"/>
          <w:b/>
          <w:bCs/>
          <w:rtl/>
        </w:rPr>
        <w:t>עפר</w:t>
      </w:r>
      <w:r>
        <w:rPr>
          <w:b/>
          <w:bCs/>
          <w:rtl/>
        </w:rPr>
        <w:t xml:space="preserve"> </w:t>
      </w:r>
      <w:r>
        <w:rPr>
          <w:rFonts w:hint="cs"/>
          <w:b/>
          <w:bCs/>
          <w:rtl/>
        </w:rPr>
        <w:t>שלח</w:t>
      </w:r>
      <w:r>
        <w:br/>
      </w:r>
      <w:r>
        <w:rPr>
          <w:b/>
          <w:bCs/>
          <w:rtl/>
        </w:rPr>
        <w:t xml:space="preserve"> </w:t>
      </w:r>
      <w:r>
        <w:tab/>
      </w:r>
      <w:r>
        <w:tab/>
      </w:r>
      <w:r>
        <w:tab/>
      </w:r>
      <w:r>
        <w:tab/>
      </w:r>
      <w:r>
        <w:rPr>
          <w:rFonts w:hint="cs"/>
          <w:b/>
          <w:bCs/>
          <w:rtl/>
        </w:rPr>
        <w:t>יעקב</w:t>
      </w:r>
      <w:r>
        <w:rPr>
          <w:b/>
          <w:bCs/>
          <w:rtl/>
        </w:rPr>
        <w:t xml:space="preserve"> </w:t>
      </w:r>
      <w:r>
        <w:rPr>
          <w:rFonts w:hint="cs"/>
          <w:b/>
          <w:bCs/>
          <w:rtl/>
        </w:rPr>
        <w:t>פרי</w:t>
      </w:r>
      <w:r>
        <w:br/>
      </w:r>
      <w:r>
        <w:rPr>
          <w:b/>
          <w:bCs/>
          <w:rtl/>
        </w:rPr>
        <w:t xml:space="preserve"> </w:t>
      </w:r>
      <w:r>
        <w:tab/>
      </w:r>
      <w:r>
        <w:tab/>
      </w:r>
      <w:r>
        <w:tab/>
      </w:r>
      <w:r>
        <w:tab/>
      </w:r>
      <w:r>
        <w:rPr>
          <w:rFonts w:hint="cs"/>
          <w:b/>
          <w:bCs/>
          <w:rtl/>
        </w:rPr>
        <w:t>רועי</w:t>
      </w:r>
      <w:r>
        <w:rPr>
          <w:b/>
          <w:bCs/>
          <w:rtl/>
        </w:rPr>
        <w:t xml:space="preserve"> </w:t>
      </w:r>
      <w:r>
        <w:rPr>
          <w:rFonts w:hint="cs"/>
          <w:b/>
          <w:bCs/>
          <w:rtl/>
        </w:rPr>
        <w:t>פולקמן</w:t>
      </w:r>
      <w:r>
        <w:br/>
      </w:r>
      <w:r>
        <w:rPr>
          <w:b/>
          <w:bCs/>
          <w:rtl/>
        </w:rPr>
        <w:t xml:space="preserve"> </w:t>
      </w:r>
      <w:r>
        <w:tab/>
      </w:r>
      <w:r>
        <w:tab/>
      </w:r>
      <w:r>
        <w:tab/>
      </w:r>
      <w:r>
        <w:tab/>
      </w:r>
      <w:r>
        <w:rPr>
          <w:rFonts w:hint="cs"/>
          <w:b/>
          <w:bCs/>
          <w:rtl/>
        </w:rPr>
        <w:t>בצלאל</w:t>
      </w:r>
      <w:r>
        <w:rPr>
          <w:b/>
          <w:bCs/>
          <w:rtl/>
        </w:rPr>
        <w:t xml:space="preserve"> </w:t>
      </w:r>
      <w:r>
        <w:rPr>
          <w:rFonts w:hint="cs"/>
          <w:b/>
          <w:bCs/>
          <w:rtl/>
        </w:rPr>
        <w:t>סמוטריץ</w:t>
      </w:r>
      <w:r>
        <w:rPr>
          <w:b/>
          <w:bCs/>
          <w:rtl/>
        </w:rPr>
        <w:t>'</w:t>
      </w:r>
      <w:r>
        <w:br/>
      </w:r>
      <w:r>
        <w:rPr>
          <w:b/>
          <w:bCs/>
          <w:rtl/>
        </w:rPr>
        <w:t xml:space="preserve"> </w:t>
      </w:r>
      <w:r>
        <w:tab/>
      </w:r>
      <w:r>
        <w:tab/>
      </w:r>
      <w:r>
        <w:tab/>
      </w:r>
      <w:r>
        <w:tab/>
      </w:r>
      <w:r>
        <w:rPr>
          <w:rFonts w:hint="cs"/>
          <w:b/>
          <w:bCs/>
          <w:rtl/>
        </w:rPr>
        <w:t>מרב</w:t>
      </w:r>
      <w:r>
        <w:rPr>
          <w:b/>
          <w:bCs/>
          <w:rtl/>
        </w:rPr>
        <w:t xml:space="preserve"> </w:t>
      </w:r>
      <w:r>
        <w:rPr>
          <w:rFonts w:hint="cs"/>
          <w:b/>
          <w:bCs/>
          <w:rtl/>
        </w:rPr>
        <w:t>מיכאלי</w:t>
      </w:r>
      <w:bookmarkStart w:id="4" w:name="LGS_Join_List"/>
      <w:bookmarkEnd w:id="3"/>
      <w:r>
        <w:rPr>
          <w:rtl/>
        </w:rPr>
        <w:t xml:space="preserve"> </w:t>
      </w:r>
      <w:bookmarkEnd w:id="4"/>
      <w:r>
        <w:rPr>
          <w:rtl/>
        </w:rPr>
        <w:tab/>
      </w:r>
      <w:bookmarkStart w:id="5" w:name="LGS_PM_NamesJoin"/>
      <w:r>
        <w:rPr>
          <w:rtl/>
        </w:rPr>
        <w:t xml:space="preserve"> </w:t>
      </w:r>
      <w:bookmarkEnd w:id="5"/>
    </w:p>
    <w:p w:rsidR="008C13D0" w:rsidRDefault="008C13D0" w:rsidP="008C13D0">
      <w:pPr>
        <w:pStyle w:val="David"/>
        <w:spacing w:before="0" w:line="360" w:lineRule="auto"/>
        <w:ind w:left="3544"/>
        <w:rPr>
          <w:sz w:val="4"/>
          <w:szCs w:val="4"/>
          <w:rtl/>
        </w:rPr>
      </w:pPr>
      <w:r>
        <w:t>______________________________________________</w:t>
      </w:r>
      <w:r>
        <w:tab/>
      </w:r>
      <w:r>
        <w:rPr>
          <w:rtl/>
        </w:rPr>
        <w:tab/>
      </w:r>
      <w:r>
        <w:rPr>
          <w:rtl/>
        </w:rPr>
        <w:tab/>
      </w:r>
      <w:r>
        <w:rPr>
          <w:rtl/>
        </w:rPr>
        <w:tab/>
      </w:r>
      <w:r>
        <w:t xml:space="preserve">           </w:t>
      </w:r>
    </w:p>
    <w:p w:rsidR="008C13D0" w:rsidRDefault="008C13D0" w:rsidP="008C13D0">
      <w:pPr>
        <w:pStyle w:val="David"/>
        <w:spacing w:before="0" w:line="240" w:lineRule="auto"/>
        <w:ind w:left="3544"/>
        <w:rPr>
          <w:rtl/>
        </w:rPr>
      </w:pPr>
      <w:r>
        <w:t xml:space="preserve">                                             </w:t>
      </w:r>
      <w:bookmarkStart w:id="6" w:name="Private_Number"/>
      <w:r>
        <w:rPr>
          <w:rFonts w:hint="cs"/>
          <w:rtl/>
        </w:rPr>
        <w:t>פ</w:t>
      </w:r>
      <w:r>
        <w:rPr>
          <w:rtl/>
        </w:rPr>
        <w:t>/3250/20</w:t>
      </w:r>
      <w:bookmarkEnd w:id="6"/>
    </w:p>
    <w:p w:rsidR="008C13D0" w:rsidRDefault="008C13D0" w:rsidP="008C13D0">
      <w:pPr>
        <w:spacing w:before="0" w:line="360" w:lineRule="auto"/>
        <w:ind w:left="2880" w:firstLine="720"/>
        <w:rPr>
          <w:rFonts w:cs="David"/>
          <w:sz w:val="26"/>
          <w:szCs w:val="26"/>
          <w:rtl/>
        </w:rPr>
      </w:pPr>
    </w:p>
    <w:p w:rsidR="008C13D0" w:rsidRDefault="008C13D0" w:rsidP="008C13D0">
      <w:pPr>
        <w:pStyle w:val="HeadHatzaotHok"/>
        <w:rPr>
          <w:rtl/>
        </w:rPr>
      </w:pPr>
      <w:bookmarkStart w:id="7" w:name="LGS_Subject"/>
      <w:bookmarkStart w:id="8" w:name="_GoBack"/>
      <w:r>
        <w:rPr>
          <w:rtl/>
        </w:rPr>
        <w:t>הצעת חוק האגודות העותומניות (רישום ופיקוח), התשע"ו–2016</w:t>
      </w:r>
      <w:bookmarkEnd w:id="7"/>
    </w:p>
    <w:bookmarkEnd w:id="8"/>
    <w:p w:rsidR="008C13D0" w:rsidRDefault="008C13D0" w:rsidP="008C13D0">
      <w:pPr>
        <w:pStyle w:val="HeadDivreiHesber"/>
        <w:spacing w:before="0" w:after="0"/>
        <w:rPr>
          <w:rtl/>
        </w:rPr>
      </w:pPr>
    </w:p>
    <w:tbl>
      <w:tblPr>
        <w:bidiVisual/>
        <w:tblW w:w="9645" w:type="dxa"/>
        <w:tblLayout w:type="fixed"/>
        <w:tblCellMar>
          <w:top w:w="57" w:type="dxa"/>
          <w:left w:w="0" w:type="dxa"/>
          <w:bottom w:w="57" w:type="dxa"/>
          <w:right w:w="0" w:type="dxa"/>
        </w:tblCellMar>
        <w:tblLook w:val="01E0" w:firstRow="1" w:lastRow="1" w:firstColumn="1" w:lastColumn="1" w:noHBand="0" w:noVBand="0"/>
      </w:tblPr>
      <w:tblGrid>
        <w:gridCol w:w="1873"/>
        <w:gridCol w:w="624"/>
        <w:gridCol w:w="624"/>
        <w:gridCol w:w="6517"/>
        <w:gridCol w:w="7"/>
      </w:tblGrid>
      <w:tr w:rsidR="008C13D0" w:rsidTr="002764A8">
        <w:trPr>
          <w:cantSplit/>
        </w:trPr>
        <w:tc>
          <w:tcPr>
            <w:tcW w:w="1873" w:type="dxa"/>
            <w:hideMark/>
          </w:tcPr>
          <w:p w:rsidR="008C13D0" w:rsidRDefault="008C13D0">
            <w:pPr>
              <w:pStyle w:val="TableSideHeading"/>
              <w:keepLines w:val="0"/>
              <w:rPr>
                <w:rtl/>
              </w:rPr>
            </w:pPr>
            <w:r>
              <w:rPr>
                <w:rtl/>
              </w:rPr>
              <w:t>הגדרות</w:t>
            </w:r>
          </w:p>
        </w:tc>
        <w:tc>
          <w:tcPr>
            <w:tcW w:w="624" w:type="dxa"/>
            <w:hideMark/>
          </w:tcPr>
          <w:p w:rsidR="008C13D0" w:rsidRDefault="008C13D0">
            <w:pPr>
              <w:pStyle w:val="TableText"/>
              <w:keepLines w:val="0"/>
            </w:pPr>
            <w:r>
              <w:rPr>
                <w:rtl/>
              </w:rPr>
              <w:t>1.</w:t>
            </w:r>
          </w:p>
        </w:tc>
        <w:tc>
          <w:tcPr>
            <w:tcW w:w="7148" w:type="dxa"/>
            <w:gridSpan w:val="3"/>
            <w:hideMark/>
          </w:tcPr>
          <w:p w:rsidR="008C13D0" w:rsidRDefault="008C13D0">
            <w:pPr>
              <w:pStyle w:val="TableHead"/>
              <w:jc w:val="both"/>
              <w:rPr>
                <w:b w:val="0"/>
                <w:bCs w:val="0"/>
              </w:rPr>
            </w:pPr>
            <w:r>
              <w:rPr>
                <w:b w:val="0"/>
                <w:bCs w:val="0"/>
                <w:rtl/>
              </w:rPr>
              <w:t>בחוק זה –</w:t>
            </w:r>
          </w:p>
        </w:tc>
      </w:tr>
      <w:tr w:rsidR="008C13D0" w:rsidTr="002764A8">
        <w:trPr>
          <w:cantSplit/>
        </w:trPr>
        <w:tc>
          <w:tcPr>
            <w:tcW w:w="1873" w:type="dxa"/>
          </w:tcPr>
          <w:p w:rsidR="008C13D0" w:rsidRDefault="008C13D0">
            <w:pPr>
              <w:pStyle w:val="TableSideHeading"/>
              <w:keepLines w:val="0"/>
            </w:pPr>
          </w:p>
        </w:tc>
        <w:tc>
          <w:tcPr>
            <w:tcW w:w="624" w:type="dxa"/>
          </w:tcPr>
          <w:p w:rsidR="008C13D0" w:rsidRDefault="008C13D0">
            <w:pPr>
              <w:pStyle w:val="TableText"/>
              <w:keepLines w:val="0"/>
            </w:pPr>
          </w:p>
        </w:tc>
        <w:tc>
          <w:tcPr>
            <w:tcW w:w="7148" w:type="dxa"/>
            <w:gridSpan w:val="3"/>
            <w:hideMark/>
          </w:tcPr>
          <w:p w:rsidR="008C13D0" w:rsidRPr="004701EF" w:rsidRDefault="008C13D0" w:rsidP="004701EF">
            <w:pPr>
              <w:pStyle w:val="TableBlockOutdent"/>
            </w:pPr>
            <w:r w:rsidRPr="004701EF">
              <w:rPr>
                <w:rtl/>
              </w:rPr>
              <w:t>"אגודה" – אגודה עותומנית כמשמעה בחוק העותומני;</w:t>
            </w:r>
          </w:p>
        </w:tc>
      </w:tr>
      <w:tr w:rsidR="008C13D0" w:rsidTr="002764A8">
        <w:trPr>
          <w:cantSplit/>
        </w:trPr>
        <w:tc>
          <w:tcPr>
            <w:tcW w:w="1873" w:type="dxa"/>
          </w:tcPr>
          <w:p w:rsidR="008C13D0" w:rsidRDefault="008C13D0">
            <w:pPr>
              <w:pStyle w:val="TableSideHeading"/>
              <w:keepLines w:val="0"/>
            </w:pPr>
          </w:p>
        </w:tc>
        <w:tc>
          <w:tcPr>
            <w:tcW w:w="624" w:type="dxa"/>
          </w:tcPr>
          <w:p w:rsidR="008C13D0" w:rsidRDefault="008C13D0">
            <w:pPr>
              <w:pStyle w:val="TableText"/>
            </w:pPr>
          </w:p>
        </w:tc>
        <w:tc>
          <w:tcPr>
            <w:tcW w:w="7148" w:type="dxa"/>
            <w:gridSpan w:val="3"/>
            <w:hideMark/>
          </w:tcPr>
          <w:p w:rsidR="008C13D0" w:rsidRPr="004701EF" w:rsidRDefault="008C13D0" w:rsidP="004701EF">
            <w:pPr>
              <w:pStyle w:val="TableBlockOutdent"/>
            </w:pPr>
            <w:r w:rsidRPr="004701EF">
              <w:rPr>
                <w:rtl/>
              </w:rPr>
              <w:t>"החוק העותומני" – החוק העותומני על האגודות</w:t>
            </w:r>
            <w:r w:rsidRPr="004701EF">
              <w:rPr>
                <w:szCs w:val="20"/>
                <w:rtl/>
              </w:rPr>
              <w:footnoteReference w:id="2"/>
            </w:r>
            <w:r w:rsidRPr="004701EF">
              <w:rPr>
                <w:rtl/>
              </w:rPr>
              <w:t>;</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Pr="004701EF" w:rsidRDefault="008C13D0" w:rsidP="004701EF">
            <w:pPr>
              <w:pStyle w:val="TableBlockOutdent"/>
            </w:pPr>
            <w:r w:rsidRPr="004701EF">
              <w:rPr>
                <w:rtl/>
              </w:rPr>
              <w:t>"השר" – שר המשפטים;</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Pr="004701EF" w:rsidRDefault="008C13D0" w:rsidP="004701EF">
            <w:pPr>
              <w:pStyle w:val="TableBlockOutdent"/>
            </w:pPr>
            <w:r w:rsidRPr="004701EF">
              <w:rPr>
                <w:rtl/>
              </w:rPr>
              <w:t>"חוק העמותות" – חוק העמותות, התש"ם–1980</w:t>
            </w:r>
            <w:r w:rsidRPr="004701EF">
              <w:rPr>
                <w:szCs w:val="20"/>
                <w:rtl/>
              </w:rPr>
              <w:footnoteReference w:id="3"/>
            </w:r>
            <w:r w:rsidRPr="004701EF">
              <w:rPr>
                <w:szCs w:val="20"/>
                <w:rtl/>
              </w:rPr>
              <w:t>.</w:t>
            </w:r>
          </w:p>
        </w:tc>
      </w:tr>
      <w:tr w:rsidR="008C13D0" w:rsidTr="002764A8">
        <w:trPr>
          <w:cantSplit/>
        </w:trPr>
        <w:tc>
          <w:tcPr>
            <w:tcW w:w="1873" w:type="dxa"/>
            <w:hideMark/>
          </w:tcPr>
          <w:p w:rsidR="008C13D0" w:rsidRDefault="008C13D0">
            <w:pPr>
              <w:pStyle w:val="TableSideHeading"/>
              <w:keepLines w:val="0"/>
              <w:rPr>
                <w:rtl/>
              </w:rPr>
            </w:pPr>
            <w:r>
              <w:rPr>
                <w:rtl/>
              </w:rPr>
              <w:t>רשם האגודות העותומניות</w:t>
            </w:r>
          </w:p>
        </w:tc>
        <w:tc>
          <w:tcPr>
            <w:tcW w:w="624" w:type="dxa"/>
            <w:hideMark/>
          </w:tcPr>
          <w:p w:rsidR="008C13D0" w:rsidRDefault="008C13D0">
            <w:pPr>
              <w:pStyle w:val="TableText"/>
              <w:rPr>
                <w:rtl/>
              </w:rPr>
            </w:pPr>
            <w:r>
              <w:rPr>
                <w:rtl/>
              </w:rPr>
              <w:t>2.</w:t>
            </w:r>
          </w:p>
        </w:tc>
        <w:tc>
          <w:tcPr>
            <w:tcW w:w="7148" w:type="dxa"/>
            <w:gridSpan w:val="3"/>
            <w:hideMark/>
          </w:tcPr>
          <w:p w:rsidR="008C13D0" w:rsidRDefault="008C13D0">
            <w:pPr>
              <w:pStyle w:val="TableBlock"/>
            </w:pPr>
            <w:r>
              <w:rPr>
                <w:rtl/>
              </w:rPr>
              <w:t>(א)</w:t>
            </w:r>
            <w:r>
              <w:rPr>
                <w:rtl/>
              </w:rPr>
              <w:tab/>
              <w:t>רשם העמותות, כמשמעו בחוק העמותות, ישמש גם כרשם האגודות העותומניות (להלן – הרשם) וינהל את מרשם אגודות עותומניות (להלן – המרשם), בהתאם להוראות חוק זה ולהוראות החוק העותומני, וכפי שיקבע השר בתקנות.</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Default="008C13D0">
            <w:pPr>
              <w:pStyle w:val="TableBlock"/>
            </w:pPr>
            <w:r>
              <w:rPr>
                <w:rtl/>
              </w:rPr>
              <w:t>(ב)</w:t>
            </w:r>
            <w:r>
              <w:rPr>
                <w:rtl/>
              </w:rPr>
              <w:tab/>
              <w:t>לרשם יהיו מלוא הסמכויות לדרישת מסמכים ולחקירת תפקודה של אגודה המוקנות מכוח הוראות הדין לרשם העמותות ביחס לעמותה, לרבות הטלת הוצאות חקירה.</w:t>
            </w:r>
          </w:p>
        </w:tc>
      </w:tr>
      <w:tr w:rsidR="008C13D0" w:rsidTr="002764A8">
        <w:trPr>
          <w:cantSplit/>
        </w:trPr>
        <w:tc>
          <w:tcPr>
            <w:tcW w:w="1873" w:type="dxa"/>
            <w:hideMark/>
          </w:tcPr>
          <w:p w:rsidR="008C13D0" w:rsidRDefault="008C13D0">
            <w:pPr>
              <w:pStyle w:val="TableSideHeading"/>
              <w:keepLines w:val="0"/>
              <w:rPr>
                <w:rtl/>
              </w:rPr>
            </w:pPr>
            <w:r>
              <w:rPr>
                <w:rtl/>
              </w:rPr>
              <w:lastRenderedPageBreak/>
              <w:t>עדכון המרשם</w:t>
            </w:r>
          </w:p>
        </w:tc>
        <w:tc>
          <w:tcPr>
            <w:tcW w:w="624" w:type="dxa"/>
            <w:hideMark/>
          </w:tcPr>
          <w:p w:rsidR="008C13D0" w:rsidRDefault="008C13D0">
            <w:pPr>
              <w:pStyle w:val="TableText"/>
              <w:rPr>
                <w:rtl/>
              </w:rPr>
            </w:pPr>
            <w:r>
              <w:rPr>
                <w:rtl/>
              </w:rPr>
              <w:t>3.</w:t>
            </w:r>
          </w:p>
        </w:tc>
        <w:tc>
          <w:tcPr>
            <w:tcW w:w="7148" w:type="dxa"/>
            <w:gridSpan w:val="3"/>
            <w:hideMark/>
          </w:tcPr>
          <w:p w:rsidR="008C13D0" w:rsidRDefault="008C13D0">
            <w:pPr>
              <w:pStyle w:val="TableBlock"/>
            </w:pPr>
            <w:r>
              <w:rPr>
                <w:rtl/>
              </w:rPr>
              <w:t>(א)</w:t>
            </w:r>
            <w:r>
              <w:rPr>
                <w:rtl/>
              </w:rPr>
              <w:tab/>
              <w:t>בתוך 6 חודשים מיום תחילתו של חוק זה, חייבת אגודה להגיש לרשם בקשה לעדכון פרטיה במרשם; בבקשה יצוינו שם האגודה, מטרותיה, מענה בישראל, שמות חברי ועד הנהלתה, מעניהם ומספרי זהותם, בצירוף תקנון האגודה ותצהיר חתום בידי כל חברי ועד האגודה על נכונותם לכהן בה כחברי ועד (להלן – בקשה לעדכון רישום).</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Default="008C13D0">
            <w:pPr>
              <w:pStyle w:val="TableBlock"/>
            </w:pPr>
            <w:r>
              <w:rPr>
                <w:rtl/>
              </w:rPr>
              <w:t>(ב)</w:t>
            </w:r>
            <w:r>
              <w:rPr>
                <w:rtl/>
              </w:rPr>
              <w:tab/>
              <w:t>הגישה אגודה בתוך התקופה הקבועה בסעיף קטן (א) בקשה להירשם כעמותה, בהתאם להוראות החלות לעניין זה בחוק העמותות (להלן – בקשה לרישום כעמותה), ובקשתה אושרה על ידי הרשם, תהיה פטורה מהוראות סעיף זה; דחה הרשם את בקשתה לרישום כעמותה, תגיש האגודה בקשה לעדכון רישום בתוך 3 חודשים מיום שנדחתה בקשתה לרישום כעמותה.</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Default="008C13D0">
            <w:pPr>
              <w:pStyle w:val="TableBlock"/>
            </w:pPr>
            <w:r>
              <w:rPr>
                <w:rtl/>
              </w:rPr>
              <w:t>(ג)</w:t>
            </w:r>
            <w:r>
              <w:rPr>
                <w:rtl/>
              </w:rPr>
              <w:tab/>
              <w:t>הוגשה בקשה לעדכון רישום בהתאם להוראות סעיף זה, ירשום הרשם את האגודה במרשם, יפרסם על כך הודעה ברשומות וינפיק לאגודה תעודת רישום; התעודה תהיה ראיה חלוטה שהאגודה רשומה כדין.</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Default="008C13D0">
            <w:pPr>
              <w:pStyle w:val="TableBlock"/>
            </w:pPr>
            <w:r>
              <w:rPr>
                <w:rtl/>
              </w:rPr>
              <w:t>(ד)</w:t>
            </w:r>
            <w:r>
              <w:rPr>
                <w:rtl/>
              </w:rPr>
              <w:tab/>
              <w:t>לא הגישה אגודה בקשה לעדכון רישום בהתאם להוראות ולכללים שיחולו לעניין זה ובתוך התקופה הקבועה בסעיף קטן (א) או (ב), לפי העניין, ימחק הרשם את האגודה; הרשם רשאי לאפשר לאגודה ארכה של 6 חודשים נוספים להגשת הבקשה לעדכון רישום או לשם תיקונה, בטרם ימחק את האגודה.</w:t>
            </w:r>
          </w:p>
        </w:tc>
      </w:tr>
      <w:tr w:rsidR="008C13D0" w:rsidTr="002764A8">
        <w:trPr>
          <w:cantSplit/>
        </w:trPr>
        <w:tc>
          <w:tcPr>
            <w:tcW w:w="1873" w:type="dxa"/>
            <w:hideMark/>
          </w:tcPr>
          <w:p w:rsidR="008C13D0" w:rsidRDefault="008C13D0">
            <w:pPr>
              <w:pStyle w:val="TableSideHeading"/>
              <w:keepLines w:val="0"/>
              <w:rPr>
                <w:rtl/>
              </w:rPr>
            </w:pPr>
            <w:r>
              <w:rPr>
                <w:rtl/>
              </w:rPr>
              <w:t>שימוש בשם האגודה</w:t>
            </w:r>
          </w:p>
        </w:tc>
        <w:tc>
          <w:tcPr>
            <w:tcW w:w="624" w:type="dxa"/>
            <w:hideMark/>
          </w:tcPr>
          <w:p w:rsidR="008C13D0" w:rsidRDefault="008C13D0">
            <w:pPr>
              <w:pStyle w:val="TableText"/>
              <w:rPr>
                <w:rtl/>
              </w:rPr>
            </w:pPr>
            <w:r>
              <w:rPr>
                <w:rtl/>
              </w:rPr>
              <w:t xml:space="preserve">4. </w:t>
            </w:r>
          </w:p>
        </w:tc>
        <w:tc>
          <w:tcPr>
            <w:tcW w:w="7148" w:type="dxa"/>
            <w:gridSpan w:val="3"/>
            <w:hideMark/>
          </w:tcPr>
          <w:p w:rsidR="008C13D0" w:rsidRDefault="008C13D0">
            <w:pPr>
              <w:pStyle w:val="TableBlock"/>
            </w:pPr>
            <w:r>
              <w:rPr>
                <w:sz w:val="26"/>
                <w:rtl/>
              </w:rPr>
              <w:t>שם האגודה יצוין בכל מסמך, שילוט או פרסום היוצא מטעמה, בצורה המלאה המופיעה בתעודת הרישום; השם יצוין באותיות אחידות וללא קיצורים והשמטות ויכלול בסופו את הציון "אגודה עותומנית" או "(א"ע)".</w:t>
            </w:r>
          </w:p>
        </w:tc>
      </w:tr>
      <w:tr w:rsidR="008C13D0" w:rsidTr="002764A8">
        <w:trPr>
          <w:cantSplit/>
        </w:trPr>
        <w:tc>
          <w:tcPr>
            <w:tcW w:w="1873" w:type="dxa"/>
            <w:hideMark/>
          </w:tcPr>
          <w:p w:rsidR="008C13D0" w:rsidRDefault="008C13D0">
            <w:pPr>
              <w:pStyle w:val="TableSideHeading"/>
              <w:keepLines w:val="0"/>
              <w:rPr>
                <w:rtl/>
              </w:rPr>
            </w:pPr>
            <w:r>
              <w:rPr>
                <w:rtl/>
              </w:rPr>
              <w:t>תקנון האגודה</w:t>
            </w:r>
          </w:p>
        </w:tc>
        <w:tc>
          <w:tcPr>
            <w:tcW w:w="624" w:type="dxa"/>
            <w:hideMark/>
          </w:tcPr>
          <w:p w:rsidR="008C13D0" w:rsidRDefault="008C13D0">
            <w:pPr>
              <w:pStyle w:val="TableText"/>
              <w:rPr>
                <w:rtl/>
              </w:rPr>
            </w:pPr>
            <w:r>
              <w:rPr>
                <w:rtl/>
              </w:rPr>
              <w:t>5.</w:t>
            </w:r>
          </w:p>
        </w:tc>
        <w:tc>
          <w:tcPr>
            <w:tcW w:w="7148" w:type="dxa"/>
            <w:gridSpan w:val="3"/>
            <w:hideMark/>
          </w:tcPr>
          <w:p w:rsidR="008C13D0" w:rsidRDefault="008C13D0">
            <w:pPr>
              <w:pStyle w:val="TableBlock"/>
            </w:pPr>
            <w:r>
              <w:rPr>
                <w:sz w:val="26"/>
                <w:rtl/>
              </w:rPr>
              <w:t>לכל אגודה יהיה תקנון; דין התקנון כדין חוזה בין האגודה לבין חבריה, ובינם לבין עצמם.</w:t>
            </w:r>
          </w:p>
        </w:tc>
      </w:tr>
      <w:tr w:rsidR="008C13D0" w:rsidTr="002764A8">
        <w:trPr>
          <w:cantSplit/>
        </w:trPr>
        <w:tc>
          <w:tcPr>
            <w:tcW w:w="1873" w:type="dxa"/>
            <w:hideMark/>
          </w:tcPr>
          <w:p w:rsidR="008C13D0" w:rsidRDefault="008C13D0">
            <w:pPr>
              <w:pStyle w:val="TableSideHeading"/>
              <w:keepLines w:val="0"/>
              <w:rPr>
                <w:rtl/>
              </w:rPr>
            </w:pPr>
            <w:r>
              <w:rPr>
                <w:rtl/>
              </w:rPr>
              <w:t>ניהול חשבונות והגשת מסמכים לרשם</w:t>
            </w:r>
          </w:p>
        </w:tc>
        <w:tc>
          <w:tcPr>
            <w:tcW w:w="624" w:type="dxa"/>
            <w:hideMark/>
          </w:tcPr>
          <w:p w:rsidR="008C13D0" w:rsidRDefault="008C13D0">
            <w:pPr>
              <w:pStyle w:val="TableText"/>
              <w:rPr>
                <w:rtl/>
              </w:rPr>
            </w:pPr>
            <w:r>
              <w:rPr>
                <w:rtl/>
              </w:rPr>
              <w:t>6.</w:t>
            </w:r>
          </w:p>
        </w:tc>
        <w:tc>
          <w:tcPr>
            <w:tcW w:w="7148" w:type="dxa"/>
            <w:gridSpan w:val="3"/>
            <w:hideMark/>
          </w:tcPr>
          <w:p w:rsidR="008C13D0" w:rsidRDefault="008C13D0">
            <w:pPr>
              <w:pStyle w:val="TableBlock"/>
            </w:pPr>
            <w:r>
              <w:rPr>
                <w:rtl/>
              </w:rPr>
              <w:t>(א)</w:t>
            </w:r>
            <w:r>
              <w:rPr>
                <w:rtl/>
              </w:rPr>
              <w:tab/>
              <w:t>אגודה חייבת לנהל פנקסי חשבונות בהתאם להוראות סעיף 35 לחוק העמותות, בשינויים המחויבים.</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Default="008C13D0">
            <w:pPr>
              <w:pStyle w:val="TableBlock"/>
            </w:pPr>
            <w:r>
              <w:rPr>
                <w:rtl/>
              </w:rPr>
              <w:t>(ב)</w:t>
            </w:r>
            <w:r>
              <w:rPr>
                <w:rtl/>
              </w:rPr>
              <w:tab/>
              <w:t>אגודה חייבת למנות רואה חשבון בהתאם להוראות סעיף 31א לחוק העמותות, בשינויים המחויבים.</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Default="008C13D0">
            <w:pPr>
              <w:pStyle w:val="TableBlock"/>
            </w:pPr>
            <w:r>
              <w:rPr>
                <w:rtl/>
              </w:rPr>
              <w:t>(ג)</w:t>
            </w:r>
            <w:r>
              <w:rPr>
                <w:rtl/>
              </w:rPr>
              <w:tab/>
              <w:t>אגודה חייבת להכין ולהגיש לרשם דו"ח כספי ודו"ח מילולי, בהתאם להוראות סעיפים 36 ו-37א לחוק העמותות, בשינויים המחויבים. דו"ח כספי של אגודה החייבת במינוי רואה חשבון יוגש לרשם כשהוא מבוקר בידי רואה החשבון, בהתאם להוראות סעיף 37 לחוק העמותות, בשינויים המחויבים.</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Default="008C13D0">
            <w:pPr>
              <w:pStyle w:val="TableBlock"/>
            </w:pPr>
            <w:r>
              <w:rPr>
                <w:rtl/>
              </w:rPr>
              <w:t>(ד)</w:t>
            </w:r>
            <w:r>
              <w:rPr>
                <w:rtl/>
              </w:rPr>
              <w:tab/>
              <w:t>אגודה חייבת בהגשת מסמכים לרשם בהתאם להוראות סעיף 38 לחוק העמותות, בשינויים המחויבים.</w:t>
            </w:r>
          </w:p>
        </w:tc>
      </w:tr>
      <w:tr w:rsidR="008C13D0" w:rsidTr="002764A8">
        <w:trPr>
          <w:cantSplit/>
        </w:trPr>
        <w:tc>
          <w:tcPr>
            <w:tcW w:w="1873" w:type="dxa"/>
            <w:hideMark/>
          </w:tcPr>
          <w:p w:rsidR="008C13D0" w:rsidRDefault="008C13D0">
            <w:pPr>
              <w:pStyle w:val="TableSideHeading"/>
              <w:keepLines w:val="0"/>
              <w:rPr>
                <w:rtl/>
              </w:rPr>
            </w:pPr>
            <w:r>
              <w:rPr>
                <w:rtl/>
              </w:rPr>
              <w:lastRenderedPageBreak/>
              <w:t>פירוק ומחיקה של אגודה</w:t>
            </w:r>
          </w:p>
        </w:tc>
        <w:tc>
          <w:tcPr>
            <w:tcW w:w="624" w:type="dxa"/>
            <w:hideMark/>
          </w:tcPr>
          <w:p w:rsidR="008C13D0" w:rsidRDefault="008C13D0">
            <w:pPr>
              <w:pStyle w:val="TableText"/>
              <w:rPr>
                <w:rtl/>
              </w:rPr>
            </w:pPr>
            <w:r>
              <w:rPr>
                <w:rtl/>
              </w:rPr>
              <w:t>7.</w:t>
            </w:r>
          </w:p>
        </w:tc>
        <w:tc>
          <w:tcPr>
            <w:tcW w:w="7148" w:type="dxa"/>
            <w:gridSpan w:val="3"/>
            <w:hideMark/>
          </w:tcPr>
          <w:p w:rsidR="008C13D0" w:rsidRDefault="008C13D0">
            <w:pPr>
              <w:pStyle w:val="TableBlock"/>
            </w:pPr>
            <w:r>
              <w:rPr>
                <w:rtl/>
              </w:rPr>
              <w:t>(א)</w:t>
            </w:r>
            <w:r>
              <w:rPr>
                <w:rtl/>
              </w:rPr>
              <w:tab/>
              <w:t>פירוק של אגודה יהיה פירוק מרצון או פירוק לפי צו בית משפט, בהתאם להוראות פרק ז' סימן א' לחוק העמותות, בשינויים המחויבים.</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Default="008C13D0">
            <w:pPr>
              <w:pStyle w:val="TableBlock"/>
            </w:pPr>
            <w:r>
              <w:rPr>
                <w:rtl/>
              </w:rPr>
              <w:t>(ב)</w:t>
            </w:r>
            <w:r>
              <w:rPr>
                <w:rtl/>
              </w:rPr>
              <w:tab/>
              <w:t>מחיקת אגודה על ידי הרשם, לרבות מכוח סעיף 3(ד) לחוק זה ומכוח הוראות חוק העמותות, תבוצע באמצעות פירוק האגודה לפי צו בית משפט, בהתאם להוראות פרק ז' סימן ב' לחוק העמותות, בשינויים המחויבים.</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Default="008C13D0">
            <w:pPr>
              <w:pStyle w:val="TableBlock"/>
            </w:pPr>
            <w:r>
              <w:rPr>
                <w:rtl/>
              </w:rPr>
              <w:t>(ג)</w:t>
            </w:r>
            <w:r>
              <w:rPr>
                <w:rtl/>
              </w:rPr>
              <w:tab/>
              <w:t>על אף האמור בכל דין, בפירוק אגודה ולאחר שנפרעו חובותיה במלואם נשארו נכסים, ינהגו בהם לפי הוראות התקנון, ובלבד שאם האגודה פורקה לפי צו בית המשפט, שוכנע בית המשפט שאין בהוראות האמורות כדי להביא לכך שנכסי האגודה יחולקו לאחר פירוקה במישרין או בעקיפין לחברי האגודה או למייסדיה, או שיועברו נכסים לאחר הפירוק במישרין או בעקיפין למטרות שאינן קרובות למטרות האגודה ערב מועד הפירוק; פורקה האגודה מרצון – אם שוכנע כאמור הרשם; באין הוראות כאלה או באין אפשרות מעשית לנהוג לפיהן, יוקדשו אותם נכסים לפי הוראות בית המשפט למטרה שקבע בית המשפט כקרובה למטרות האגודה.</w:t>
            </w:r>
          </w:p>
        </w:tc>
      </w:tr>
      <w:tr w:rsidR="008C13D0" w:rsidTr="002764A8">
        <w:trPr>
          <w:cantSplit/>
        </w:trPr>
        <w:tc>
          <w:tcPr>
            <w:tcW w:w="1873" w:type="dxa"/>
          </w:tcPr>
          <w:p w:rsidR="008C13D0" w:rsidRDefault="008C13D0">
            <w:pPr>
              <w:pStyle w:val="TableSideHeading"/>
              <w:keepLines w:val="0"/>
              <w:rPr>
                <w:rtl/>
              </w:rPr>
            </w:pPr>
          </w:p>
        </w:tc>
        <w:tc>
          <w:tcPr>
            <w:tcW w:w="624" w:type="dxa"/>
          </w:tcPr>
          <w:p w:rsidR="008C13D0" w:rsidRDefault="008C13D0">
            <w:pPr>
              <w:pStyle w:val="TableText"/>
              <w:rPr>
                <w:rtl/>
              </w:rPr>
            </w:pPr>
          </w:p>
        </w:tc>
        <w:tc>
          <w:tcPr>
            <w:tcW w:w="7148" w:type="dxa"/>
            <w:gridSpan w:val="3"/>
            <w:hideMark/>
          </w:tcPr>
          <w:p w:rsidR="008C13D0" w:rsidRDefault="008C13D0">
            <w:pPr>
              <w:pStyle w:val="TableBlock"/>
            </w:pPr>
            <w:r>
              <w:rPr>
                <w:rtl/>
              </w:rPr>
              <w:t>(ד)</w:t>
            </w:r>
            <w:r>
              <w:rPr>
                <w:rtl/>
              </w:rPr>
              <w:tab/>
              <w:t>הוראות סעיף קטן (ג) לא יחולו לגבי נכס שנקבע במועד העברתו לאגודה בהסכם או בתקנון האגודה כי הוא יועבר לאחר הפירוק לאדם שהעבירו לאגודה (בסעיף קטן זה – המעביר) או לאדם אחר שקבע המעביר.</w:t>
            </w:r>
          </w:p>
        </w:tc>
      </w:tr>
      <w:tr w:rsidR="008C13D0" w:rsidTr="002764A8">
        <w:trPr>
          <w:cantSplit/>
        </w:trPr>
        <w:tc>
          <w:tcPr>
            <w:tcW w:w="1873" w:type="dxa"/>
            <w:hideMark/>
          </w:tcPr>
          <w:p w:rsidR="008C13D0" w:rsidRDefault="008C13D0">
            <w:pPr>
              <w:pStyle w:val="TableSideHeading"/>
              <w:keepLines w:val="0"/>
              <w:rPr>
                <w:rtl/>
              </w:rPr>
            </w:pPr>
            <w:r>
              <w:rPr>
                <w:rtl/>
              </w:rPr>
              <w:t>עבירות</w:t>
            </w:r>
          </w:p>
        </w:tc>
        <w:tc>
          <w:tcPr>
            <w:tcW w:w="624" w:type="dxa"/>
            <w:hideMark/>
          </w:tcPr>
          <w:p w:rsidR="008C13D0" w:rsidRDefault="008C13D0">
            <w:pPr>
              <w:pStyle w:val="TableText"/>
              <w:rPr>
                <w:rtl/>
              </w:rPr>
            </w:pPr>
            <w:r>
              <w:rPr>
                <w:rtl/>
              </w:rPr>
              <w:t xml:space="preserve">8. </w:t>
            </w:r>
          </w:p>
        </w:tc>
        <w:tc>
          <w:tcPr>
            <w:tcW w:w="7148" w:type="dxa"/>
            <w:gridSpan w:val="3"/>
            <w:hideMark/>
          </w:tcPr>
          <w:p w:rsidR="008C13D0" w:rsidRDefault="008C13D0">
            <w:pPr>
              <w:pStyle w:val="TableBlock"/>
            </w:pPr>
            <w:r>
              <w:rPr>
                <w:rtl/>
              </w:rPr>
              <w:t>חבר באגודה או עובד בה או אדם שנמנה עם גוף מבקר (בסעיף זה – בעל זיקה) העושה אחד מאלה, דינו – העונש הקבוע בדין ביחס למעשה זהה על ידי בעל זיקה בעמותה:</w:t>
            </w:r>
            <w:bookmarkStart w:id="9" w:name="Rov234"/>
            <w:r>
              <w:rPr>
                <w:rtl/>
              </w:rPr>
              <w:t xml:space="preserve">  </w:t>
            </w:r>
            <w:bookmarkEnd w:id="9"/>
          </w:p>
        </w:tc>
      </w:tr>
      <w:tr w:rsidR="002764A8" w:rsidTr="003A5DBA">
        <w:trPr>
          <w:gridAfter w:val="1"/>
          <w:wAfter w:w="7" w:type="dxa"/>
          <w:cantSplit/>
        </w:trPr>
        <w:tc>
          <w:tcPr>
            <w:tcW w:w="1873" w:type="dxa"/>
          </w:tcPr>
          <w:p w:rsidR="002764A8" w:rsidRDefault="002764A8" w:rsidP="002764A8">
            <w:pPr>
              <w:pStyle w:val="TableSideHeading"/>
              <w:ind w:right="0"/>
              <w:rPr>
                <w:rtl/>
              </w:rPr>
            </w:pPr>
          </w:p>
        </w:tc>
        <w:tc>
          <w:tcPr>
            <w:tcW w:w="624" w:type="dxa"/>
          </w:tcPr>
          <w:p w:rsidR="002764A8" w:rsidRDefault="002764A8" w:rsidP="002764A8">
            <w:pPr>
              <w:pStyle w:val="TableText"/>
              <w:ind w:right="0"/>
              <w:jc w:val="both"/>
              <w:rPr>
                <w:rtl/>
              </w:rPr>
            </w:pPr>
          </w:p>
        </w:tc>
        <w:tc>
          <w:tcPr>
            <w:tcW w:w="7141" w:type="dxa"/>
            <w:gridSpan w:val="2"/>
          </w:tcPr>
          <w:p w:rsidR="002764A8" w:rsidRDefault="002764A8" w:rsidP="002764A8">
            <w:pPr>
              <w:pStyle w:val="TableBlock"/>
              <w:rPr>
                <w:rtl/>
              </w:rPr>
            </w:pPr>
            <w:r>
              <w:rPr>
                <w:rtl/>
              </w:rPr>
              <w:t>(1)</w:t>
            </w:r>
            <w:r>
              <w:rPr>
                <w:rtl/>
              </w:rPr>
              <w:tab/>
              <w:t>משיב תשובה כוזבת על שאלה שנשאל על ידי הרשם או מי מטעמו או מוסר מידע כוזב כשנדרש על פי חוק זה לעשות כן;</w:t>
            </w:r>
          </w:p>
        </w:tc>
      </w:tr>
      <w:tr w:rsidR="002764A8" w:rsidTr="002764A8">
        <w:trPr>
          <w:gridAfter w:val="1"/>
          <w:wAfter w:w="7" w:type="dxa"/>
          <w:cantSplit/>
        </w:trPr>
        <w:tc>
          <w:tcPr>
            <w:tcW w:w="1873" w:type="dxa"/>
          </w:tcPr>
          <w:p w:rsidR="002764A8" w:rsidRDefault="002764A8" w:rsidP="002764A8">
            <w:pPr>
              <w:pStyle w:val="TableSideHeading"/>
              <w:ind w:right="0"/>
              <w:rPr>
                <w:rtl/>
              </w:rPr>
            </w:pPr>
          </w:p>
        </w:tc>
        <w:tc>
          <w:tcPr>
            <w:tcW w:w="624" w:type="dxa"/>
          </w:tcPr>
          <w:p w:rsidR="002764A8" w:rsidRDefault="002764A8" w:rsidP="002764A8">
            <w:pPr>
              <w:pStyle w:val="TableText"/>
              <w:ind w:right="0"/>
              <w:jc w:val="both"/>
              <w:rPr>
                <w:rtl/>
              </w:rPr>
            </w:pPr>
          </w:p>
        </w:tc>
        <w:tc>
          <w:tcPr>
            <w:tcW w:w="7141" w:type="dxa"/>
            <w:gridSpan w:val="2"/>
          </w:tcPr>
          <w:p w:rsidR="002764A8" w:rsidRDefault="002764A8" w:rsidP="002764A8">
            <w:pPr>
              <w:pStyle w:val="TableBlock"/>
              <w:rPr>
                <w:rtl/>
              </w:rPr>
            </w:pPr>
            <w:r>
              <w:rPr>
                <w:rtl/>
              </w:rPr>
              <w:t>(2)</w:t>
            </w:r>
            <w:r>
              <w:rPr>
                <w:rtl/>
              </w:rPr>
              <w:tab/>
              <w:t>במטרה לרמות ממשיך לפעול בשם האגודה כשהיא נמצאת בפירוק, בניגוד להוראות הדין החלות לעניין פירוק של אגודה.</w:t>
            </w:r>
          </w:p>
        </w:tc>
      </w:tr>
      <w:tr w:rsidR="008C13D0" w:rsidTr="002764A8">
        <w:trPr>
          <w:cantSplit/>
        </w:trPr>
        <w:tc>
          <w:tcPr>
            <w:tcW w:w="1873" w:type="dxa"/>
          </w:tcPr>
          <w:p w:rsidR="008C13D0" w:rsidRDefault="002764A8" w:rsidP="002764A8">
            <w:pPr>
              <w:pStyle w:val="TableSideHeading"/>
              <w:keepLines w:val="0"/>
              <w:rPr>
                <w:rtl/>
              </w:rPr>
            </w:pPr>
            <w:r>
              <w:rPr>
                <w:rtl/>
              </w:rPr>
              <w:t>עבירות קנס</w:t>
            </w:r>
          </w:p>
        </w:tc>
        <w:tc>
          <w:tcPr>
            <w:tcW w:w="624" w:type="dxa"/>
            <w:hideMark/>
          </w:tcPr>
          <w:p w:rsidR="008C13D0" w:rsidRDefault="008C13D0">
            <w:pPr>
              <w:pStyle w:val="TableText"/>
              <w:rPr>
                <w:rtl/>
              </w:rPr>
            </w:pPr>
            <w:r>
              <w:rPr>
                <w:rtl/>
              </w:rPr>
              <w:t>9.</w:t>
            </w:r>
          </w:p>
        </w:tc>
        <w:tc>
          <w:tcPr>
            <w:tcW w:w="7148" w:type="dxa"/>
            <w:gridSpan w:val="3"/>
            <w:hideMark/>
          </w:tcPr>
          <w:p w:rsidR="008C13D0" w:rsidRDefault="008C13D0">
            <w:pPr>
              <w:pStyle w:val="TableBlock"/>
            </w:pPr>
            <w:r>
              <w:rPr>
                <w:rtl/>
              </w:rPr>
              <w:t>(א)</w:t>
            </w:r>
            <w:r>
              <w:rPr>
                <w:rtl/>
              </w:rPr>
              <w:tab/>
              <w:t>אגודה שהפרה אחת מחובות אלה, דינה ודין כל אדם שהיה אחראי להפרת החובה – הקנס הקבוע לעניין זה בנוגע לעמותה:</w:t>
            </w:r>
          </w:p>
        </w:tc>
      </w:tr>
      <w:tr w:rsidR="008C13D0" w:rsidTr="002764A8">
        <w:trPr>
          <w:cantSplit/>
        </w:trPr>
        <w:tc>
          <w:tcPr>
            <w:tcW w:w="1873" w:type="dxa"/>
          </w:tcPr>
          <w:p w:rsidR="008C13D0" w:rsidRDefault="008C13D0">
            <w:pPr>
              <w:pStyle w:val="TableSideHeading"/>
              <w:rPr>
                <w:rtl/>
              </w:rPr>
            </w:pPr>
          </w:p>
        </w:tc>
        <w:tc>
          <w:tcPr>
            <w:tcW w:w="624" w:type="dxa"/>
          </w:tcPr>
          <w:p w:rsidR="008C13D0" w:rsidRDefault="008C13D0">
            <w:pPr>
              <w:pStyle w:val="TableText"/>
            </w:pPr>
          </w:p>
        </w:tc>
        <w:tc>
          <w:tcPr>
            <w:tcW w:w="624" w:type="dxa"/>
          </w:tcPr>
          <w:p w:rsidR="008C13D0" w:rsidRDefault="008C13D0">
            <w:pPr>
              <w:pStyle w:val="TableText"/>
            </w:pPr>
          </w:p>
        </w:tc>
        <w:tc>
          <w:tcPr>
            <w:tcW w:w="6524" w:type="dxa"/>
            <w:gridSpan w:val="2"/>
            <w:hideMark/>
          </w:tcPr>
          <w:p w:rsidR="008C13D0" w:rsidRDefault="008C13D0">
            <w:pPr>
              <w:pStyle w:val="TableBlock"/>
            </w:pPr>
            <w:r>
              <w:rPr>
                <w:rtl/>
              </w:rPr>
              <w:t>(1)</w:t>
            </w:r>
            <w:r>
              <w:rPr>
                <w:rtl/>
              </w:rPr>
              <w:tab/>
              <w:t>ניהול פנקסים וחשבונות בהתאם להוראות חוק זה והוראות החוק העותומני;</w:t>
            </w:r>
          </w:p>
        </w:tc>
      </w:tr>
      <w:tr w:rsidR="008C13D0" w:rsidTr="002764A8">
        <w:trPr>
          <w:cantSplit/>
        </w:trPr>
        <w:tc>
          <w:tcPr>
            <w:tcW w:w="1873" w:type="dxa"/>
          </w:tcPr>
          <w:p w:rsidR="008C13D0" w:rsidRDefault="008C13D0">
            <w:pPr>
              <w:pStyle w:val="TableSideHeading"/>
            </w:pPr>
          </w:p>
        </w:tc>
        <w:tc>
          <w:tcPr>
            <w:tcW w:w="624" w:type="dxa"/>
          </w:tcPr>
          <w:p w:rsidR="008C13D0" w:rsidRDefault="008C13D0">
            <w:pPr>
              <w:pStyle w:val="TableText"/>
              <w:rPr>
                <w:rtl/>
              </w:rPr>
            </w:pPr>
          </w:p>
        </w:tc>
        <w:tc>
          <w:tcPr>
            <w:tcW w:w="624" w:type="dxa"/>
          </w:tcPr>
          <w:p w:rsidR="008C13D0" w:rsidRDefault="008C13D0">
            <w:pPr>
              <w:pStyle w:val="TableText"/>
            </w:pPr>
          </w:p>
        </w:tc>
        <w:tc>
          <w:tcPr>
            <w:tcW w:w="6524" w:type="dxa"/>
            <w:gridSpan w:val="2"/>
            <w:hideMark/>
          </w:tcPr>
          <w:p w:rsidR="008C13D0" w:rsidRDefault="008C13D0">
            <w:pPr>
              <w:pStyle w:val="TableBlock"/>
            </w:pPr>
            <w:r>
              <w:rPr>
                <w:rtl/>
              </w:rPr>
              <w:t>(2)</w:t>
            </w:r>
            <w:r>
              <w:rPr>
                <w:rtl/>
              </w:rPr>
              <w:tab/>
              <w:t>מתן אפשרות לחבר הוועד לעיין בפנקסים ובמסמכי האגודה;</w:t>
            </w:r>
          </w:p>
        </w:tc>
      </w:tr>
      <w:tr w:rsidR="008C13D0" w:rsidTr="002764A8">
        <w:trPr>
          <w:cantSplit/>
        </w:trPr>
        <w:tc>
          <w:tcPr>
            <w:tcW w:w="1873" w:type="dxa"/>
          </w:tcPr>
          <w:p w:rsidR="008C13D0" w:rsidRDefault="008C13D0">
            <w:pPr>
              <w:pStyle w:val="TableSideHeading"/>
              <w:rPr>
                <w:rtl/>
              </w:rPr>
            </w:pPr>
          </w:p>
        </w:tc>
        <w:tc>
          <w:tcPr>
            <w:tcW w:w="624" w:type="dxa"/>
          </w:tcPr>
          <w:p w:rsidR="008C13D0" w:rsidRDefault="008C13D0">
            <w:pPr>
              <w:pStyle w:val="TableText"/>
              <w:rPr>
                <w:rtl/>
              </w:rPr>
            </w:pPr>
          </w:p>
        </w:tc>
        <w:tc>
          <w:tcPr>
            <w:tcW w:w="624" w:type="dxa"/>
          </w:tcPr>
          <w:p w:rsidR="008C13D0" w:rsidRDefault="008C13D0">
            <w:pPr>
              <w:pStyle w:val="TableText"/>
            </w:pPr>
          </w:p>
        </w:tc>
        <w:tc>
          <w:tcPr>
            <w:tcW w:w="6524" w:type="dxa"/>
            <w:gridSpan w:val="2"/>
            <w:hideMark/>
          </w:tcPr>
          <w:p w:rsidR="008C13D0" w:rsidRDefault="008C13D0">
            <w:pPr>
              <w:pStyle w:val="TableBlock"/>
            </w:pPr>
            <w:r>
              <w:rPr>
                <w:rtl/>
              </w:rPr>
              <w:t>(3)</w:t>
            </w:r>
            <w:r>
              <w:rPr>
                <w:rtl/>
              </w:rPr>
              <w:tab/>
              <w:t>הגשת המסמכים האמורים בסעיף 6(ג) ו-(ד) לרשם;</w:t>
            </w:r>
          </w:p>
        </w:tc>
      </w:tr>
      <w:tr w:rsidR="008C13D0" w:rsidTr="002764A8">
        <w:trPr>
          <w:cantSplit/>
        </w:trPr>
        <w:tc>
          <w:tcPr>
            <w:tcW w:w="1873" w:type="dxa"/>
          </w:tcPr>
          <w:p w:rsidR="008C13D0" w:rsidRDefault="008C13D0">
            <w:pPr>
              <w:pStyle w:val="TableSideHeading"/>
              <w:rPr>
                <w:rtl/>
              </w:rPr>
            </w:pPr>
          </w:p>
        </w:tc>
        <w:tc>
          <w:tcPr>
            <w:tcW w:w="624" w:type="dxa"/>
          </w:tcPr>
          <w:p w:rsidR="008C13D0" w:rsidRDefault="008C13D0">
            <w:pPr>
              <w:pStyle w:val="TableText"/>
              <w:rPr>
                <w:rtl/>
              </w:rPr>
            </w:pPr>
          </w:p>
        </w:tc>
        <w:tc>
          <w:tcPr>
            <w:tcW w:w="624" w:type="dxa"/>
          </w:tcPr>
          <w:p w:rsidR="008C13D0" w:rsidRDefault="008C13D0">
            <w:pPr>
              <w:pStyle w:val="TableText"/>
            </w:pPr>
          </w:p>
        </w:tc>
        <w:tc>
          <w:tcPr>
            <w:tcW w:w="6524" w:type="dxa"/>
            <w:gridSpan w:val="2"/>
            <w:hideMark/>
          </w:tcPr>
          <w:p w:rsidR="008C13D0" w:rsidRDefault="008C13D0">
            <w:pPr>
              <w:pStyle w:val="TableBlock"/>
            </w:pPr>
            <w:r>
              <w:rPr>
                <w:rtl/>
              </w:rPr>
              <w:t>(4)</w:t>
            </w:r>
            <w:r>
              <w:rPr>
                <w:rtl/>
              </w:rPr>
              <w:tab/>
              <w:t>הימנעות מפעולה בשם האגודה כשהיא נמצאת בפירוק, בניגוד להוראות הדין החלות לעניין פירוק של אגודה.</w:t>
            </w:r>
          </w:p>
        </w:tc>
      </w:tr>
      <w:tr w:rsidR="008C13D0" w:rsidTr="002764A8">
        <w:trPr>
          <w:cantSplit/>
        </w:trPr>
        <w:tc>
          <w:tcPr>
            <w:tcW w:w="1873" w:type="dxa"/>
          </w:tcPr>
          <w:p w:rsidR="008C13D0" w:rsidRDefault="008C13D0">
            <w:pPr>
              <w:pStyle w:val="TableSideHeading"/>
              <w:rPr>
                <w:rtl/>
              </w:rPr>
            </w:pPr>
          </w:p>
        </w:tc>
        <w:tc>
          <w:tcPr>
            <w:tcW w:w="624" w:type="dxa"/>
          </w:tcPr>
          <w:p w:rsidR="008C13D0" w:rsidRDefault="008C13D0">
            <w:pPr>
              <w:pStyle w:val="TableText"/>
              <w:rPr>
                <w:rtl/>
              </w:rPr>
            </w:pPr>
          </w:p>
        </w:tc>
        <w:tc>
          <w:tcPr>
            <w:tcW w:w="7148" w:type="dxa"/>
            <w:gridSpan w:val="3"/>
            <w:hideMark/>
          </w:tcPr>
          <w:p w:rsidR="008C13D0" w:rsidRDefault="008C13D0">
            <w:pPr>
              <w:pStyle w:val="TableBlock"/>
            </w:pPr>
            <w:r>
              <w:rPr>
                <w:rtl/>
              </w:rPr>
              <w:t>(ב)</w:t>
            </w:r>
            <w:r>
              <w:rPr>
                <w:rtl/>
              </w:rPr>
              <w:tab/>
              <w:t>עבירה לפי סעיף זה אינה טעונה הוכחת מחשבה פלילית או רשלנות.</w:t>
            </w:r>
          </w:p>
        </w:tc>
      </w:tr>
      <w:tr w:rsidR="008C13D0" w:rsidTr="002764A8">
        <w:trPr>
          <w:cantSplit/>
        </w:trPr>
        <w:tc>
          <w:tcPr>
            <w:tcW w:w="1873" w:type="dxa"/>
            <w:hideMark/>
          </w:tcPr>
          <w:p w:rsidR="008C13D0" w:rsidRDefault="008C13D0">
            <w:pPr>
              <w:pStyle w:val="TableSideHeading"/>
              <w:rPr>
                <w:rtl/>
              </w:rPr>
            </w:pPr>
            <w:r>
              <w:rPr>
                <w:rtl/>
              </w:rPr>
              <w:lastRenderedPageBreak/>
              <w:t>ביצוע ותקנות</w:t>
            </w:r>
          </w:p>
        </w:tc>
        <w:tc>
          <w:tcPr>
            <w:tcW w:w="624" w:type="dxa"/>
            <w:hideMark/>
          </w:tcPr>
          <w:p w:rsidR="008C13D0" w:rsidRDefault="008C13D0">
            <w:pPr>
              <w:pStyle w:val="TableText"/>
              <w:rPr>
                <w:rtl/>
              </w:rPr>
            </w:pPr>
            <w:r>
              <w:rPr>
                <w:rtl/>
              </w:rPr>
              <w:t>10.</w:t>
            </w:r>
          </w:p>
        </w:tc>
        <w:tc>
          <w:tcPr>
            <w:tcW w:w="7148" w:type="dxa"/>
            <w:gridSpan w:val="3"/>
            <w:hideMark/>
          </w:tcPr>
          <w:p w:rsidR="008C13D0" w:rsidRDefault="008C13D0">
            <w:pPr>
              <w:pStyle w:val="TableBlock"/>
            </w:pPr>
            <w:r>
              <w:rPr>
                <w:sz w:val="26"/>
                <w:rtl/>
              </w:rPr>
              <w:t>השר ממונה על ביצוע חוק זה והוא רשאי, באישור ועדת החוקה חוק ומשפט של הכנסת, להתקין תקנות בכל הנוגע לביצועו.</w:t>
            </w:r>
          </w:p>
        </w:tc>
      </w:tr>
      <w:tr w:rsidR="008C13D0" w:rsidTr="002764A8">
        <w:trPr>
          <w:cantSplit/>
        </w:trPr>
        <w:tc>
          <w:tcPr>
            <w:tcW w:w="1873" w:type="dxa"/>
            <w:hideMark/>
          </w:tcPr>
          <w:p w:rsidR="008C13D0" w:rsidRDefault="008C13D0">
            <w:pPr>
              <w:pStyle w:val="TableSideHeading"/>
              <w:rPr>
                <w:rtl/>
              </w:rPr>
            </w:pPr>
            <w:r>
              <w:rPr>
                <w:rtl/>
              </w:rPr>
              <w:t>תיקון החוק העותומני על האגודות</w:t>
            </w:r>
          </w:p>
        </w:tc>
        <w:tc>
          <w:tcPr>
            <w:tcW w:w="624" w:type="dxa"/>
            <w:hideMark/>
          </w:tcPr>
          <w:p w:rsidR="008C13D0" w:rsidRDefault="008C13D0">
            <w:pPr>
              <w:pStyle w:val="TableText"/>
              <w:rPr>
                <w:rtl/>
              </w:rPr>
            </w:pPr>
            <w:r>
              <w:rPr>
                <w:rtl/>
              </w:rPr>
              <w:t>11.</w:t>
            </w:r>
          </w:p>
        </w:tc>
        <w:tc>
          <w:tcPr>
            <w:tcW w:w="7148" w:type="dxa"/>
            <w:gridSpan w:val="3"/>
            <w:hideMark/>
          </w:tcPr>
          <w:p w:rsidR="008C13D0" w:rsidRDefault="008C13D0">
            <w:pPr>
              <w:pStyle w:val="TableBlock"/>
              <w:rPr>
                <w:sz w:val="26"/>
              </w:rPr>
            </w:pPr>
            <w:r>
              <w:rPr>
                <w:sz w:val="26"/>
                <w:rtl/>
              </w:rPr>
              <w:t xml:space="preserve">בחוק העותומני על האגודות – </w:t>
            </w:r>
          </w:p>
        </w:tc>
      </w:tr>
      <w:tr w:rsidR="008C13D0" w:rsidTr="002764A8">
        <w:trPr>
          <w:cantSplit/>
        </w:trPr>
        <w:tc>
          <w:tcPr>
            <w:tcW w:w="1873" w:type="dxa"/>
          </w:tcPr>
          <w:p w:rsidR="008C13D0" w:rsidRDefault="008C13D0">
            <w:pPr>
              <w:pStyle w:val="TableSideHeading"/>
              <w:rPr>
                <w:rtl/>
              </w:rPr>
            </w:pPr>
          </w:p>
        </w:tc>
        <w:tc>
          <w:tcPr>
            <w:tcW w:w="624" w:type="dxa"/>
          </w:tcPr>
          <w:p w:rsidR="008C13D0" w:rsidRDefault="008C13D0">
            <w:pPr>
              <w:pStyle w:val="TableText"/>
              <w:rPr>
                <w:rtl/>
              </w:rPr>
            </w:pPr>
          </w:p>
        </w:tc>
        <w:tc>
          <w:tcPr>
            <w:tcW w:w="7148" w:type="dxa"/>
            <w:gridSpan w:val="3"/>
            <w:hideMark/>
          </w:tcPr>
          <w:p w:rsidR="008C13D0" w:rsidRDefault="008C13D0" w:rsidP="002764A8">
            <w:pPr>
              <w:pStyle w:val="TableBlock"/>
              <w:rPr>
                <w:rtl/>
              </w:rPr>
            </w:pPr>
            <w:r>
              <w:rPr>
                <w:rtl/>
              </w:rPr>
              <w:t>(</w:t>
            </w:r>
            <w:r w:rsidR="002764A8">
              <w:rPr>
                <w:rtl/>
              </w:rPr>
              <w:t>1</w:t>
            </w:r>
            <w:r>
              <w:rPr>
                <w:rtl/>
              </w:rPr>
              <w:t>)</w:t>
            </w:r>
            <w:r>
              <w:rPr>
                <w:rtl/>
              </w:rPr>
              <w:tab/>
              <w:t>בסעיף 6, במקום "לממונה על המחוז" יבוא "לרשם האגודות";</w:t>
            </w:r>
          </w:p>
        </w:tc>
      </w:tr>
      <w:tr w:rsidR="008C13D0" w:rsidTr="002764A8">
        <w:trPr>
          <w:cantSplit/>
        </w:trPr>
        <w:tc>
          <w:tcPr>
            <w:tcW w:w="1873" w:type="dxa"/>
          </w:tcPr>
          <w:p w:rsidR="008C13D0" w:rsidRDefault="008C13D0">
            <w:pPr>
              <w:pStyle w:val="TableSideHeading"/>
              <w:rPr>
                <w:rtl/>
              </w:rPr>
            </w:pPr>
          </w:p>
        </w:tc>
        <w:tc>
          <w:tcPr>
            <w:tcW w:w="624" w:type="dxa"/>
          </w:tcPr>
          <w:p w:rsidR="008C13D0" w:rsidRDefault="008C13D0">
            <w:pPr>
              <w:pStyle w:val="TableText"/>
              <w:rPr>
                <w:rtl/>
              </w:rPr>
            </w:pPr>
          </w:p>
        </w:tc>
        <w:tc>
          <w:tcPr>
            <w:tcW w:w="7148" w:type="dxa"/>
            <w:gridSpan w:val="3"/>
            <w:hideMark/>
          </w:tcPr>
          <w:p w:rsidR="008C13D0" w:rsidRDefault="008C13D0" w:rsidP="002764A8">
            <w:pPr>
              <w:pStyle w:val="TableBlock"/>
              <w:rPr>
                <w:rtl/>
              </w:rPr>
            </w:pPr>
            <w:r>
              <w:rPr>
                <w:rtl/>
              </w:rPr>
              <w:t>(</w:t>
            </w:r>
            <w:r w:rsidR="002764A8">
              <w:rPr>
                <w:rtl/>
              </w:rPr>
              <w:t>2</w:t>
            </w:r>
            <w:r>
              <w:rPr>
                <w:rtl/>
              </w:rPr>
              <w:t>)</w:t>
            </w:r>
            <w:r>
              <w:rPr>
                <w:rtl/>
              </w:rPr>
              <w:tab/>
              <w:t>בסעיף 17, במקום "אישור שר הפנים" יבוא "אישור שר המשפטים", ובמקום "מצד שר הפנים" יבוא "מצד שר המשפטים";</w:t>
            </w:r>
          </w:p>
        </w:tc>
      </w:tr>
      <w:tr w:rsidR="008C13D0" w:rsidTr="002764A8">
        <w:trPr>
          <w:cantSplit/>
        </w:trPr>
        <w:tc>
          <w:tcPr>
            <w:tcW w:w="1873" w:type="dxa"/>
          </w:tcPr>
          <w:p w:rsidR="008C13D0" w:rsidRDefault="008C13D0">
            <w:pPr>
              <w:pStyle w:val="TableSideHeading"/>
              <w:rPr>
                <w:rtl/>
              </w:rPr>
            </w:pPr>
          </w:p>
        </w:tc>
        <w:tc>
          <w:tcPr>
            <w:tcW w:w="624" w:type="dxa"/>
          </w:tcPr>
          <w:p w:rsidR="008C13D0" w:rsidRDefault="008C13D0">
            <w:pPr>
              <w:pStyle w:val="TableText"/>
              <w:rPr>
                <w:rtl/>
              </w:rPr>
            </w:pPr>
          </w:p>
        </w:tc>
        <w:tc>
          <w:tcPr>
            <w:tcW w:w="7148" w:type="dxa"/>
            <w:gridSpan w:val="3"/>
            <w:hideMark/>
          </w:tcPr>
          <w:p w:rsidR="008C13D0" w:rsidRDefault="008C13D0" w:rsidP="002764A8">
            <w:pPr>
              <w:pStyle w:val="TableBlock"/>
              <w:rPr>
                <w:rtl/>
              </w:rPr>
            </w:pPr>
            <w:r>
              <w:rPr>
                <w:rtl/>
              </w:rPr>
              <w:t>(</w:t>
            </w:r>
            <w:r w:rsidR="002764A8">
              <w:rPr>
                <w:rtl/>
              </w:rPr>
              <w:t>3</w:t>
            </w:r>
            <w:r>
              <w:rPr>
                <w:rtl/>
              </w:rPr>
              <w:t>)</w:t>
            </w:r>
            <w:r>
              <w:rPr>
                <w:rtl/>
              </w:rPr>
              <w:tab/>
              <w:t>בסעיף 19, במקום "שרי הפנים והמשפטים מצווים" יבוא "שר המשפטים מצווה".</w:t>
            </w:r>
          </w:p>
        </w:tc>
      </w:tr>
    </w:tbl>
    <w:p w:rsidR="008C13D0" w:rsidRDefault="008C13D0" w:rsidP="008C13D0">
      <w:pPr>
        <w:pStyle w:val="HeadDivreiHesber"/>
        <w:rPr>
          <w:rtl/>
        </w:rPr>
      </w:pPr>
      <w:r>
        <w:rPr>
          <w:rtl/>
        </w:rPr>
        <w:t>דברי הסבר</w:t>
      </w:r>
    </w:p>
    <w:p w:rsidR="008C13D0" w:rsidRDefault="008C13D0" w:rsidP="008C13D0">
      <w:pPr>
        <w:pStyle w:val="Hesber"/>
        <w:rPr>
          <w:rtl/>
        </w:rPr>
      </w:pPr>
      <w:r>
        <w:rPr>
          <w:rtl/>
        </w:rPr>
        <w:t xml:space="preserve">בשנת 1909 חוקק בארץ ישראל החוק העותומני על אגודות (להלן – החוק העותומני), אשר הסדיר את אופן הקמתם ופעילותם של מוסדות ללא כוונת רווח. חוק זה המשיך להיות בתוקף עם הקמת המדינה, מכוח דבר המלך במועצה על ארץ ישראל ומכוח פקודת סדרי השלטון והמשפט. </w:t>
      </w:r>
    </w:p>
    <w:p w:rsidR="008C13D0" w:rsidRDefault="008C13D0" w:rsidP="008C13D0">
      <w:pPr>
        <w:pStyle w:val="Hesber"/>
      </w:pPr>
      <w:r>
        <w:rPr>
          <w:rtl/>
        </w:rPr>
        <w:t>עד לחקיקת חוק העמותות בשנת 1980 שימש החוק העותומני כמקור הסטטוטורי העיקרי להקמתם ולהסדרת פעילותם של מוסדות שפעלו ללא כוונת רווח. למעט דיווח ראשוני על עצם הקמת האגודה ועדכון פרטיה, לא נקבעו בחוק העותומני כל חובות דיווח או מנגנוני פיקוח ובקרה כלשהם על פעילויות האגודות.</w:t>
      </w:r>
    </w:p>
    <w:p w:rsidR="008C13D0" w:rsidRDefault="008C13D0" w:rsidP="008C13D0">
      <w:pPr>
        <w:pStyle w:val="Hesber"/>
        <w:rPr>
          <w:rtl/>
        </w:rPr>
      </w:pPr>
      <w:r>
        <w:rPr>
          <w:rtl/>
        </w:rPr>
        <w:t>חוק העמותות ביטל אמנם את האפשרות להקמתן של אגודות חדשות, אולם לא ביטל כליל את מוסד האגודות העותומניות, ואפשר לאגודות שהיו קיימות ערב חוק העמותות להמשיך להתקיים בלי שיחולו לגביהן החובות והפיקוח שהוטלו על עמותות. מצב משפטי זה נשמר עד היום.</w:t>
      </w:r>
    </w:p>
    <w:p w:rsidR="008C13D0" w:rsidRDefault="008C13D0" w:rsidP="008C13D0">
      <w:pPr>
        <w:pStyle w:val="Hesber"/>
        <w:rPr>
          <w:rtl/>
        </w:rPr>
      </w:pPr>
      <w:r>
        <w:rPr>
          <w:rtl/>
        </w:rPr>
        <w:t>משמעות הדברים היא כי בעוד שעל כל תאגיד אחר במדינת ישראל חלות חובות דיווח ורישום קפדניות עם מנגנוני פיקוח ורגולציה ממשלתיים – ובכלל זה אפילו חברות פרטיות שמטרתן השאת רווחים לבעליהן, קל וחומר, חברות לתועלת הציבור ועמותות הפועלות במישור הציבורי – הרי שאגודות עותומניות ממשיכות להתקיים בלי שחלה עליהן הלכה למעשה כל חובת דיווח ושקיפות, או כל מנגנון מוסדר לפיקוח ובקרה. זאת חרף העובדה, שמדובר בתאגידים הפועלים למטרות ציבוריות תוך שימוש בתרומות וכספי ציבור.</w:t>
      </w:r>
    </w:p>
    <w:p w:rsidR="008C13D0" w:rsidRDefault="008C13D0" w:rsidP="008C13D0">
      <w:pPr>
        <w:pStyle w:val="Hesber"/>
        <w:rPr>
          <w:rtl/>
        </w:rPr>
      </w:pPr>
      <w:r>
        <w:rPr>
          <w:rtl/>
        </w:rPr>
        <w:t>כך, באופן האמור פועלות כיום במדינת ישראל אלפי אגודות עותומניות "מתחת לרדאר", ביניהן אגודות עם תקציבים שנתיים של מאות מיליוני שקלים, דוגמת ההסתדרות החדשה, הסתדרות המורים, התאחדות המלונות ועוד, תוך שחלקן נהנות מהקצבות ותמיכות ממשלתיות בהיקפים משמעותיים.</w:t>
      </w:r>
    </w:p>
    <w:p w:rsidR="008C13D0" w:rsidRDefault="008C13D0" w:rsidP="008C13D0">
      <w:pPr>
        <w:pStyle w:val="Hesber"/>
        <w:rPr>
          <w:rtl/>
        </w:rPr>
      </w:pPr>
      <w:r>
        <w:rPr>
          <w:rtl/>
        </w:rPr>
        <w:t>מה שהיה נכון (אולי) בתקופת שלטונו של הסולטן העותומני, ודאי שאינו יכול להתקבל כיום בעידן של שקיפות ופיקוח ציבוריים, ולא ניתן להצדיק בשום אופן את המשך קיומו של המצב המתואר. מוסד האגודות העותומניות היה צריך כבר מזמן לחלוף מן העולם ויש לקוות כי הדבר יטופל במסגרת תיקון מלא ומקיף של חוק העמותות.</w:t>
      </w:r>
    </w:p>
    <w:p w:rsidR="008C13D0" w:rsidRDefault="008C13D0" w:rsidP="008C13D0">
      <w:pPr>
        <w:pStyle w:val="Hesber"/>
        <w:rPr>
          <w:rtl/>
        </w:rPr>
      </w:pPr>
      <w:r>
        <w:rPr>
          <w:rtl/>
        </w:rPr>
        <w:t xml:space="preserve">אולם כל עוד מוסד האגודות העותומניות ממשיך להתקיים, יש להטיל עליו לאלתר חובות דיווח </w:t>
      </w:r>
      <w:r>
        <w:rPr>
          <w:rtl/>
        </w:rPr>
        <w:lastRenderedPageBreak/>
        <w:t>והתנהלות בסיסיות, באמצעות החלת חלק מהכללים החלים לעניין זה על עמותות (שהן למעשה מוסד זהה במהותו למוסד האגודות). כך גם יש למסד באופן מידי פיקוח ובקרה ממשלתיים על פעילותן של האגודות.</w:t>
      </w:r>
    </w:p>
    <w:p w:rsidR="008C13D0" w:rsidRDefault="008C13D0" w:rsidP="008C13D0">
      <w:pPr>
        <w:pStyle w:val="Hesber"/>
        <w:rPr>
          <w:rtl/>
        </w:rPr>
      </w:pPr>
      <w:r>
        <w:rPr>
          <w:rtl/>
        </w:rPr>
        <w:t>לפיכך, מוצע בהצעת חוק זו –</w:t>
      </w:r>
    </w:p>
    <w:p w:rsidR="008C13D0" w:rsidRDefault="008C13D0" w:rsidP="008C13D0">
      <w:pPr>
        <w:pStyle w:val="Hesber"/>
        <w:rPr>
          <w:rtl/>
        </w:rPr>
      </w:pPr>
      <w:r>
        <w:rPr>
          <w:rtl/>
        </w:rPr>
        <w:t>1. לקבוע כי רשם העמותות במשרד המשפטים ישמש גם כרשם האגודות העותומניות ולהקנות לו את מלוא האחריות והסמכות לפיקוח על פעילות האגודות, לרבות הקמה וניהול של מרשם אגודות, אשר האגודות יחויבו לעדכן בו את פרטיהן;</w:t>
      </w:r>
    </w:p>
    <w:p w:rsidR="008C13D0" w:rsidRDefault="008C13D0" w:rsidP="008C13D0">
      <w:pPr>
        <w:pStyle w:val="Hesber"/>
        <w:rPr>
          <w:rtl/>
        </w:rPr>
      </w:pPr>
      <w:r>
        <w:rPr>
          <w:rtl/>
        </w:rPr>
        <w:t xml:space="preserve">2. להטיל על אגודות עותומניות חובות דיווח והתנהלות בסיסיות, כפי שחלות על עמותות, ובכלל זה לציין בפרסומיהן את דבר היותן אגודות; לקיים תקנון אגודה; לנהל חשבונות בהתאם לכללים הנהוגים ולהגיש לרשם דו"חות שנתיים ומסמכים נוספים; </w:t>
      </w:r>
    </w:p>
    <w:p w:rsidR="008C13D0" w:rsidRDefault="008C13D0" w:rsidP="008C13D0">
      <w:pPr>
        <w:pStyle w:val="Hesber"/>
        <w:rPr>
          <w:rtl/>
        </w:rPr>
      </w:pPr>
      <w:r>
        <w:rPr>
          <w:rtl/>
        </w:rPr>
        <w:t>3. להחיל על האגודות את הכללים החלים על עמותות לעניין פירוק ומחיקה, לרבות האיסור על חלוקת נכסי האגודה בעת פירוקה לחבריה ולמייסדיה.</w:t>
      </w:r>
    </w:p>
    <w:p w:rsidR="008C13D0" w:rsidRDefault="008C13D0" w:rsidP="008C13D0">
      <w:pPr>
        <w:pStyle w:val="Hesber"/>
      </w:pPr>
      <w:r>
        <w:rPr>
          <w:rtl/>
        </w:rPr>
        <w:t>4. להחיל כלפי אגודה, חבריה ועובדיה את העבירות והעונשים הקבועים ביחס לעמותות, לרבות בנוגע למסירת מידע כוזב והפרת החובות המוטלות בחוק.</w:t>
      </w:r>
    </w:p>
    <w:p w:rsidR="008C13D0" w:rsidRDefault="008C13D0" w:rsidP="008C13D0">
      <w:pPr>
        <w:pStyle w:val="Hesber"/>
      </w:pPr>
      <w:r>
        <w:rPr>
          <w:rtl/>
        </w:rPr>
        <w:t>5. להעביר את האחריות המלאה לביצוע החוק לשר המשפטים.</w:t>
      </w:r>
    </w:p>
    <w:p w:rsidR="008C13D0" w:rsidRDefault="008C13D0" w:rsidP="002764A8">
      <w:pPr>
        <w:pStyle w:val="Hesber"/>
        <w:rPr>
          <w:rtl/>
        </w:rPr>
      </w:pPr>
      <w:r>
        <w:rPr>
          <w:rtl/>
        </w:rPr>
        <w:t>הצעת חוק דומה בעיקרה הונחה על שולחן הכנסת התשע</w:t>
      </w:r>
      <w:r w:rsidR="004701EF">
        <w:rPr>
          <w:rtl/>
        </w:rPr>
        <w:t>-</w:t>
      </w:r>
      <w:r>
        <w:rPr>
          <w:rtl/>
        </w:rPr>
        <w:t>עשרה על ידי חבר הכנסת עפר שלח וקבוצת חברי הכנסת (פ/2498/19).</w:t>
      </w:r>
    </w:p>
    <w:p w:rsidR="004701EF" w:rsidRDefault="004701EF" w:rsidP="002764A8">
      <w:pPr>
        <w:pStyle w:val="Hesber"/>
        <w:rPr>
          <w:rtl/>
        </w:rPr>
      </w:pPr>
    </w:p>
    <w:p w:rsidR="004701EF" w:rsidRDefault="004701EF" w:rsidP="002764A8">
      <w:pPr>
        <w:pStyle w:val="Hesber"/>
      </w:pPr>
    </w:p>
    <w:p w:rsidR="004701EF" w:rsidRPr="00D73212" w:rsidRDefault="004701EF" w:rsidP="004701EF">
      <w:pPr>
        <w:pStyle w:val="Hesber"/>
        <w:rPr>
          <w:color w:val="auto"/>
          <w:rtl/>
          <w:lang w:eastAsia="en-US"/>
        </w:rPr>
      </w:pPr>
      <w:r w:rsidRPr="00D73212">
        <w:rPr>
          <w:color w:val="auto"/>
          <w:rtl/>
          <w:lang w:eastAsia="en-US"/>
        </w:rPr>
        <w:t>---------------------------------</w:t>
      </w:r>
    </w:p>
    <w:p w:rsidR="004701EF" w:rsidRPr="00D73212" w:rsidRDefault="004701EF" w:rsidP="004701EF">
      <w:pPr>
        <w:pStyle w:val="Hesber"/>
        <w:rPr>
          <w:color w:val="auto"/>
          <w:rtl/>
          <w:lang w:eastAsia="en-US"/>
        </w:rPr>
      </w:pPr>
      <w:r w:rsidRPr="00D73212">
        <w:rPr>
          <w:color w:val="auto"/>
          <w:rtl/>
          <w:lang w:eastAsia="en-US"/>
        </w:rPr>
        <w:t>הוגשה ליו"ר הכנסת והסגנים</w:t>
      </w:r>
    </w:p>
    <w:p w:rsidR="004701EF" w:rsidRPr="00D73212" w:rsidRDefault="004701EF" w:rsidP="004701EF">
      <w:pPr>
        <w:pStyle w:val="Hesber"/>
        <w:rPr>
          <w:color w:val="auto"/>
          <w:rtl/>
          <w:lang w:eastAsia="en-US"/>
        </w:rPr>
      </w:pPr>
      <w:r w:rsidRPr="00D73212">
        <w:rPr>
          <w:color w:val="auto"/>
          <w:rtl/>
          <w:lang w:eastAsia="en-US"/>
        </w:rPr>
        <w:t>והונחה על שולחן הכנסת ביום</w:t>
      </w:r>
    </w:p>
    <w:p w:rsidR="004701EF" w:rsidRPr="00317312" w:rsidRDefault="004701EF" w:rsidP="004701EF">
      <w:pPr>
        <w:pStyle w:val="Hesber"/>
      </w:pPr>
      <w:r>
        <w:rPr>
          <w:color w:val="auto"/>
          <w:rtl/>
          <w:lang w:eastAsia="en-US"/>
        </w:rPr>
        <w:t>כ"ו בתמוז</w:t>
      </w:r>
      <w:r w:rsidRPr="00D73212">
        <w:rPr>
          <w:color w:val="auto"/>
          <w:rtl/>
          <w:lang w:eastAsia="en-US"/>
        </w:rPr>
        <w:t xml:space="preserve"> התשע"</w:t>
      </w:r>
      <w:r>
        <w:rPr>
          <w:color w:val="auto"/>
          <w:rtl/>
          <w:lang w:eastAsia="en-US"/>
        </w:rPr>
        <w:t>ו</w:t>
      </w:r>
      <w:r w:rsidRPr="00D73212">
        <w:rPr>
          <w:color w:val="auto"/>
          <w:rtl/>
          <w:lang w:eastAsia="en-US"/>
        </w:rPr>
        <w:t xml:space="preserve"> – </w:t>
      </w:r>
      <w:r>
        <w:rPr>
          <w:color w:val="auto"/>
          <w:rtl/>
          <w:lang w:eastAsia="en-US"/>
        </w:rPr>
        <w:t>1.8</w:t>
      </w:r>
      <w:r w:rsidRPr="00D73212">
        <w:rPr>
          <w:color w:val="auto"/>
          <w:rtl/>
          <w:lang w:eastAsia="en-US"/>
        </w:rPr>
        <w:t>.1</w:t>
      </w:r>
      <w:r>
        <w:rPr>
          <w:color w:val="auto"/>
          <w:rtl/>
          <w:lang w:eastAsia="en-US"/>
        </w:rPr>
        <w:t>6</w:t>
      </w:r>
    </w:p>
    <w:p w:rsidR="00E13C27" w:rsidRPr="004701EF" w:rsidRDefault="00E13C27" w:rsidP="008C13D0">
      <w:pPr>
        <w:rPr>
          <w:rtl/>
        </w:rPr>
      </w:pPr>
    </w:p>
    <w:sectPr w:rsidR="00E13C27" w:rsidRPr="004701EF"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70A" w:rsidRDefault="005E170A">
      <w:r>
        <w:separator/>
      </w:r>
    </w:p>
  </w:endnote>
  <w:endnote w:type="continuationSeparator" w:id="0">
    <w:p w:rsidR="005E170A" w:rsidRDefault="005E170A">
      <w:r>
        <w:continuationSeparator/>
      </w:r>
    </w:p>
  </w:endnote>
  <w:endnote w:type="continuationNotice" w:id="1">
    <w:p w:rsidR="005E170A" w:rsidRDefault="005E17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41" w:rsidRDefault="002C3041"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end"/>
    </w:r>
  </w:p>
  <w:p w:rsidR="002C3041" w:rsidRDefault="002C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41" w:rsidRDefault="002C3041"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separate"/>
    </w:r>
    <w:r w:rsidR="001C7390">
      <w:rPr>
        <w:rStyle w:val="PageNumber"/>
        <w:noProof/>
        <w:rtl/>
      </w:rPr>
      <w:t>5</w:t>
    </w:r>
    <w:r>
      <w:rPr>
        <w:rStyle w:val="PageNumber"/>
        <w:rFonts w:cs="Hadasa Roso SL"/>
      </w:rPr>
      <w:fldChar w:fldCharType="end"/>
    </w:r>
  </w:p>
  <w:p w:rsidR="002C3041" w:rsidRDefault="002C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70A" w:rsidRDefault="005E170A">
      <w:r>
        <w:separator/>
      </w:r>
    </w:p>
  </w:footnote>
  <w:footnote w:type="continuationSeparator" w:id="0">
    <w:p w:rsidR="005E170A" w:rsidRDefault="005E170A">
      <w:r>
        <w:continuationSeparator/>
      </w:r>
    </w:p>
  </w:footnote>
  <w:footnote w:type="continuationNotice" w:id="1">
    <w:p w:rsidR="005E170A" w:rsidRDefault="005E170A"/>
  </w:footnote>
  <w:footnote w:id="2">
    <w:p w:rsidR="00000000" w:rsidRDefault="008C13D0" w:rsidP="008C13D0">
      <w:pPr>
        <w:pStyle w:val="FootnoteText"/>
        <w:ind w:left="340" w:hanging="340"/>
      </w:pPr>
      <w:r>
        <w:rPr>
          <w:rStyle w:val="FootnoteReference"/>
          <w:rFonts w:cs="David"/>
        </w:rPr>
        <w:footnoteRef/>
      </w:r>
      <w:r>
        <w:rPr>
          <w:rtl/>
        </w:rPr>
        <w:t xml:space="preserve"> ס"ח התשכ"ב, עמ' 127.</w:t>
      </w:r>
    </w:p>
  </w:footnote>
  <w:footnote w:id="3">
    <w:p w:rsidR="00000000" w:rsidRDefault="008C13D0" w:rsidP="008C13D0">
      <w:pPr>
        <w:pStyle w:val="FootnoteText"/>
      </w:pPr>
      <w:r>
        <w:rPr>
          <w:rStyle w:val="FootnoteReference"/>
          <w:rFonts w:cs="David"/>
        </w:rPr>
        <w:footnoteRef/>
      </w:r>
      <w:r>
        <w:rPr>
          <w:rtl/>
        </w:rPr>
        <w:t xml:space="preserve"> ס"ח התש"ם, עמ' </w:t>
      </w:r>
      <w:r>
        <w:rPr>
          <w:rtl/>
        </w:rPr>
        <w:tab/>
        <w:t>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6D3BA5"/>
    <w:multiLevelType w:val="hybridMultilevel"/>
    <w:tmpl w:val="249A83CA"/>
    <w:lvl w:ilvl="0" w:tplc="3CFE4B7C">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2"/>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C7390"/>
    <w:rsid w:val="001D7AAF"/>
    <w:rsid w:val="00203A7F"/>
    <w:rsid w:val="0021633A"/>
    <w:rsid w:val="002200A1"/>
    <w:rsid w:val="002362BF"/>
    <w:rsid w:val="00241B97"/>
    <w:rsid w:val="002425D1"/>
    <w:rsid w:val="00246756"/>
    <w:rsid w:val="00251E58"/>
    <w:rsid w:val="00254605"/>
    <w:rsid w:val="00266D86"/>
    <w:rsid w:val="002728B4"/>
    <w:rsid w:val="0027600C"/>
    <w:rsid w:val="002764A8"/>
    <w:rsid w:val="00292712"/>
    <w:rsid w:val="002A487D"/>
    <w:rsid w:val="002C2E29"/>
    <w:rsid w:val="002C3041"/>
    <w:rsid w:val="002D1EE3"/>
    <w:rsid w:val="002F1D80"/>
    <w:rsid w:val="00317312"/>
    <w:rsid w:val="003232A2"/>
    <w:rsid w:val="00325C14"/>
    <w:rsid w:val="0036422C"/>
    <w:rsid w:val="003710F6"/>
    <w:rsid w:val="00386E88"/>
    <w:rsid w:val="00396585"/>
    <w:rsid w:val="003A5DBA"/>
    <w:rsid w:val="003D6E38"/>
    <w:rsid w:val="003D74A0"/>
    <w:rsid w:val="004033D8"/>
    <w:rsid w:val="004073F0"/>
    <w:rsid w:val="00412A7D"/>
    <w:rsid w:val="00416B4D"/>
    <w:rsid w:val="00417CFC"/>
    <w:rsid w:val="004701EF"/>
    <w:rsid w:val="004A06DC"/>
    <w:rsid w:val="004B24ED"/>
    <w:rsid w:val="004B6625"/>
    <w:rsid w:val="004D2D82"/>
    <w:rsid w:val="004D3876"/>
    <w:rsid w:val="004E4552"/>
    <w:rsid w:val="004E6CDF"/>
    <w:rsid w:val="00553C9D"/>
    <w:rsid w:val="00562A66"/>
    <w:rsid w:val="005B064E"/>
    <w:rsid w:val="005D51AE"/>
    <w:rsid w:val="005E170A"/>
    <w:rsid w:val="0062674B"/>
    <w:rsid w:val="006363B2"/>
    <w:rsid w:val="00644940"/>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25BD7"/>
    <w:rsid w:val="0083181D"/>
    <w:rsid w:val="00843EB2"/>
    <w:rsid w:val="00865572"/>
    <w:rsid w:val="00874BBC"/>
    <w:rsid w:val="00892135"/>
    <w:rsid w:val="00895449"/>
    <w:rsid w:val="00897879"/>
    <w:rsid w:val="008A0BC0"/>
    <w:rsid w:val="008A6870"/>
    <w:rsid w:val="008B00FF"/>
    <w:rsid w:val="008C036B"/>
    <w:rsid w:val="008C13D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B10C4"/>
    <w:rsid w:val="00CF1AA2"/>
    <w:rsid w:val="00D17774"/>
    <w:rsid w:val="00D63620"/>
    <w:rsid w:val="00D73212"/>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D6BA4"/>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D6E00B-99BF-409E-9FB4-7540FCC4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Normal"/>
    <w:rsid w:val="00B975AD"/>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Normal"/>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B975AD"/>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Normal"/>
    <w:rsid w:val="00B975AD"/>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EndnoteText">
    <w:name w:val="endnote text"/>
    <w:basedOn w:val="Normal"/>
    <w:link w:val="EndnoteTextChar"/>
    <w:uiPriority w:val="99"/>
    <w:semiHidden/>
    <w:rsid w:val="00B975AD"/>
    <w:pPr>
      <w:ind w:left="227" w:hanging="227"/>
    </w:pPr>
    <w:rPr>
      <w:sz w:val="14"/>
      <w:szCs w:val="22"/>
    </w:rPr>
  </w:style>
  <w:style w:type="character" w:customStyle="1" w:styleId="EndnoteTextChar">
    <w:name w:val="Endnote Text Char"/>
    <w:basedOn w:val="DefaultParagraphFont"/>
    <w:link w:val="EndnoteText"/>
    <w:uiPriority w:val="99"/>
    <w:semiHidden/>
    <w:rPr>
      <w:rFonts w:ascii="Hadasa Roso SL" w:hAnsi="Hadasa Roso SL" w:cs="Hadasa Roso SL"/>
      <w:color w:val="000000"/>
      <w:spacing w:val="1"/>
      <w:lang w:eastAsia="ja-JP"/>
    </w:rPr>
  </w:style>
  <w:style w:type="paragraph" w:customStyle="1" w:styleId="TableText">
    <w:name w:val="Table Text"/>
    <w:basedOn w:val="Normal"/>
    <w:rsid w:val="00B975AD"/>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Normal"/>
    <w:rsid w:val="00B975AD"/>
    <w:pPr>
      <w:snapToGrid w:val="0"/>
      <w:spacing w:before="0" w:line="360" w:lineRule="auto"/>
    </w:pPr>
    <w:rPr>
      <w:rFonts w:ascii="Arial" w:eastAsia="Arial Unicode MS" w:hAnsi="Arial" w:cs="David"/>
      <w:spacing w:val="0"/>
      <w:sz w:val="20"/>
      <w:szCs w:val="26"/>
    </w:rPr>
  </w:style>
  <w:style w:type="paragraph" w:styleId="FootnoteText">
    <w:name w:val="footnote text"/>
    <w:basedOn w:val="Normal"/>
    <w:link w:val="FootnoteTextChar"/>
    <w:autoRedefine/>
    <w:uiPriority w:val="99"/>
    <w:semiHidden/>
    <w:rsid w:val="00B975AD"/>
    <w:pPr>
      <w:snapToGrid w:val="0"/>
      <w:spacing w:before="0" w:line="240" w:lineRule="auto"/>
      <w:ind w:left="227" w:hanging="227"/>
      <w:jc w:val="left"/>
    </w:pPr>
    <w:rPr>
      <w:rFonts w:ascii="Arial" w:eastAsia="Arial Unicode MS" w:hAnsi="Arial" w:cs="David"/>
      <w:spacing w:val="0"/>
      <w:sz w:val="14"/>
      <w:szCs w:val="20"/>
    </w:rPr>
  </w:style>
  <w:style w:type="character" w:styleId="FootnoteReference">
    <w:name w:val="footnote reference"/>
    <w:basedOn w:val="DefaultParagraphFont"/>
    <w:uiPriority w:val="99"/>
    <w:semiHidden/>
    <w:rsid w:val="00B975AD"/>
    <w:rPr>
      <w:rFonts w:cs="Times New Roman"/>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EndnoteReference">
    <w:name w:val="endnote reference"/>
    <w:basedOn w:val="DefaultParagraphFont"/>
    <w:uiPriority w:val="99"/>
    <w:semiHidden/>
    <w:rsid w:val="00B975AD"/>
    <w:rPr>
      <w:rFonts w:cs="Times New Roman"/>
      <w:vertAlign w:val="superscript"/>
    </w:rPr>
  </w:style>
  <w:style w:type="paragraph" w:customStyle="1" w:styleId="TableBlockOutdent">
    <w:name w:val="Table BlockOutdent"/>
    <w:basedOn w:val="TableBlock"/>
    <w:rsid w:val="00B975AD"/>
    <w:pPr>
      <w:ind w:left="624" w:hanging="624"/>
    </w:pPr>
  </w:style>
  <w:style w:type="paragraph" w:styleId="Header">
    <w:name w:val="header"/>
    <w:basedOn w:val="Normal"/>
    <w:link w:val="HeaderChar"/>
    <w:uiPriority w:val="99"/>
    <w:rsid w:val="00B975AD"/>
    <w:pPr>
      <w:tabs>
        <w:tab w:val="center" w:pos="4153"/>
        <w:tab w:val="right" w:pos="8306"/>
      </w:tabs>
    </w:pPr>
  </w:style>
  <w:style w:type="character" w:customStyle="1" w:styleId="HeaderChar">
    <w:name w:val="Header Char"/>
    <w:basedOn w:val="DefaultParagraphFont"/>
    <w:link w:val="Header"/>
    <w:uiPriority w:val="99"/>
    <w:semiHidden/>
    <w:rPr>
      <w:rFonts w:ascii="Hadasa Roso SL" w:hAnsi="Hadasa Roso SL" w:cs="Hadasa Roso SL"/>
      <w:color w:val="000000"/>
      <w:spacing w:val="1"/>
      <w:sz w:val="17"/>
      <w:szCs w:val="17"/>
      <w:lang w:eastAsia="ja-JP"/>
    </w:rPr>
  </w:style>
  <w:style w:type="paragraph" w:styleId="Footer">
    <w:name w:val="footer"/>
    <w:basedOn w:val="Normal"/>
    <w:link w:val="FooterChar"/>
    <w:uiPriority w:val="99"/>
    <w:rsid w:val="00B975AD"/>
    <w:pPr>
      <w:tabs>
        <w:tab w:val="center" w:pos="4153"/>
        <w:tab w:val="right" w:pos="8306"/>
      </w:tabs>
    </w:pPr>
  </w:style>
  <w:style w:type="character" w:customStyle="1" w:styleId="FooterChar">
    <w:name w:val="Footer Char"/>
    <w:basedOn w:val="DefaultParagraphFont"/>
    <w:link w:val="Footer"/>
    <w:uiPriority w:val="99"/>
    <w:semiHidden/>
    <w:rPr>
      <w:rFonts w:ascii="Hadasa Roso SL" w:hAnsi="Hadasa Roso SL" w:cs="Hadasa Roso SL"/>
      <w:color w:val="000000"/>
      <w:spacing w:val="1"/>
      <w:sz w:val="17"/>
      <w:szCs w:val="17"/>
      <w:lang w:eastAsia="ja-JP"/>
    </w:rPr>
  </w:style>
  <w:style w:type="paragraph" w:customStyle="1" w:styleId="HeadDivreiHesber">
    <w:name w:val="Head DivreiHesber"/>
    <w:basedOn w:val="Normal"/>
    <w:rsid w:val="00B975AD"/>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Normal"/>
    <w:rsid w:val="00B975AD"/>
    <w:pPr>
      <w:snapToGrid w:val="0"/>
      <w:spacing w:before="0" w:line="360" w:lineRule="auto"/>
      <w:jc w:val="left"/>
    </w:pPr>
    <w:rPr>
      <w:rFonts w:ascii="Arial" w:eastAsia="Arial Unicode MS" w:hAnsi="Arial" w:cs="David"/>
      <w:spacing w:val="0"/>
      <w:sz w:val="20"/>
      <w:szCs w:val="26"/>
    </w:rPr>
  </w:style>
  <w:style w:type="paragraph" w:styleId="Title">
    <w:name w:val="Title"/>
    <w:basedOn w:val="Normal"/>
    <w:link w:val="TitleChar"/>
    <w:uiPriority w:val="10"/>
    <w:qFormat/>
    <w:rsid w:val="00943386"/>
    <w:pPr>
      <w:jc w:val="center"/>
    </w:pPr>
    <w:rPr>
      <w:rFonts w:cs="David"/>
      <w:b/>
      <w:bCs/>
      <w:sz w:val="28"/>
      <w:szCs w:val="28"/>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spacing w:val="1"/>
      <w:kern w:val="28"/>
      <w:sz w:val="32"/>
      <w:szCs w:val="32"/>
      <w:lang w:eastAsia="ja-JP"/>
    </w:rPr>
  </w:style>
  <w:style w:type="character" w:styleId="PageNumber">
    <w:name w:val="page number"/>
    <w:basedOn w:val="DefaultParagraphFont"/>
    <w:uiPriority w:val="99"/>
    <w:rsid w:val="00B975AD"/>
    <w:rPr>
      <w:rFonts w:cs="Times New Roman"/>
    </w:rPr>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uiPriority w:val="99"/>
    <w:semiHidden/>
    <w:unhideWhenUsed/>
    <w:rsid w:val="00325C14"/>
    <w:pPr>
      <w:spacing w:before="0" w:line="240" w:lineRule="auto"/>
    </w:pPr>
    <w:rPr>
      <w:rFonts w:ascii="Tahoma" w:hAnsi="Tahoma" w:cs="Tahoma"/>
      <w:sz w:val="16"/>
      <w:szCs w:val="16"/>
    </w:rPr>
  </w:style>
  <w:style w:type="character" w:customStyle="1" w:styleId="FootnoteTextChar">
    <w:name w:val="Footnote Text Char"/>
    <w:basedOn w:val="DefaultParagraphFont"/>
    <w:link w:val="FootnoteText"/>
    <w:semiHidden/>
    <w:locked/>
    <w:rsid w:val="008C036B"/>
    <w:rPr>
      <w:rFonts w:ascii="Arial" w:eastAsia="Arial Unicode MS" w:hAnsi="Arial" w:cs="David"/>
      <w:color w:val="000000"/>
      <w:sz w:val="14"/>
      <w:lang w:val="x-none" w:eastAsia="ja-JP" w:bidi="he-IL"/>
    </w:rPr>
  </w:style>
  <w:style w:type="character" w:customStyle="1" w:styleId="BalloonTextChar">
    <w:name w:val="Balloon Text Char"/>
    <w:basedOn w:val="DefaultParagraphFont"/>
    <w:link w:val="BalloonText"/>
    <w:semiHidden/>
    <w:locked/>
    <w:rsid w:val="00325C14"/>
    <w:rPr>
      <w:rFonts w:ascii="Tahoma" w:hAnsi="Tahoma" w:cs="Tahoma"/>
      <w:color w:val="000000"/>
      <w:spacing w:val="1"/>
      <w:sz w:val="16"/>
      <w:szCs w:val="1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09281">
      <w:marLeft w:val="0"/>
      <w:marRight w:val="0"/>
      <w:marTop w:val="0"/>
      <w:marBottom w:val="0"/>
      <w:divBdr>
        <w:top w:val="none" w:sz="0" w:space="0" w:color="auto"/>
        <w:left w:val="none" w:sz="0" w:space="0" w:color="auto"/>
        <w:bottom w:val="none" w:sz="0" w:space="0" w:color="auto"/>
        <w:right w:val="none" w:sz="0" w:space="0" w:color="auto"/>
      </w:divBdr>
    </w:div>
    <w:div w:id="602809282">
      <w:marLeft w:val="0"/>
      <w:marRight w:val="0"/>
      <w:marTop w:val="0"/>
      <w:marBottom w:val="0"/>
      <w:divBdr>
        <w:top w:val="none" w:sz="0" w:space="0" w:color="auto"/>
        <w:left w:val="none" w:sz="0" w:space="0" w:color="auto"/>
        <w:bottom w:val="none" w:sz="0" w:space="0" w:color="auto"/>
        <w:right w:val="none" w:sz="0" w:space="0" w:color="auto"/>
      </w:divBdr>
    </w:div>
    <w:div w:id="602809283">
      <w:marLeft w:val="0"/>
      <w:marRight w:val="0"/>
      <w:marTop w:val="0"/>
      <w:marBottom w:val="0"/>
      <w:divBdr>
        <w:top w:val="none" w:sz="0" w:space="0" w:color="auto"/>
        <w:left w:val="none" w:sz="0" w:space="0" w:color="auto"/>
        <w:bottom w:val="none" w:sz="0" w:space="0" w:color="auto"/>
        <w:right w:val="none" w:sz="0" w:space="0" w:color="auto"/>
      </w:divBdr>
    </w:div>
    <w:div w:id="602809284">
      <w:marLeft w:val="0"/>
      <w:marRight w:val="0"/>
      <w:marTop w:val="0"/>
      <w:marBottom w:val="0"/>
      <w:divBdr>
        <w:top w:val="none" w:sz="0" w:space="0" w:color="auto"/>
        <w:left w:val="none" w:sz="0" w:space="0" w:color="auto"/>
        <w:bottom w:val="none" w:sz="0" w:space="0" w:color="auto"/>
        <w:right w:val="none" w:sz="0" w:space="0" w:color="auto"/>
      </w:divBdr>
    </w:div>
    <w:div w:id="602809285">
      <w:marLeft w:val="0"/>
      <w:marRight w:val="0"/>
      <w:marTop w:val="0"/>
      <w:marBottom w:val="0"/>
      <w:divBdr>
        <w:top w:val="none" w:sz="0" w:space="0" w:color="auto"/>
        <w:left w:val="none" w:sz="0" w:space="0" w:color="auto"/>
        <w:bottom w:val="none" w:sz="0" w:space="0" w:color="auto"/>
        <w:right w:val="none" w:sz="0" w:space="0" w:color="auto"/>
      </w:divBdr>
    </w:div>
    <w:div w:id="602809286">
      <w:marLeft w:val="0"/>
      <w:marRight w:val="0"/>
      <w:marTop w:val="0"/>
      <w:marBottom w:val="0"/>
      <w:divBdr>
        <w:top w:val="none" w:sz="0" w:space="0" w:color="auto"/>
        <w:left w:val="none" w:sz="0" w:space="0" w:color="auto"/>
        <w:bottom w:val="none" w:sz="0" w:space="0" w:color="auto"/>
        <w:right w:val="none" w:sz="0" w:space="0" w:color="auto"/>
      </w:divBdr>
    </w:div>
    <w:div w:id="602809287">
      <w:marLeft w:val="0"/>
      <w:marRight w:val="0"/>
      <w:marTop w:val="0"/>
      <w:marBottom w:val="0"/>
      <w:divBdr>
        <w:top w:val="none" w:sz="0" w:space="0" w:color="auto"/>
        <w:left w:val="none" w:sz="0" w:space="0" w:color="auto"/>
        <w:bottom w:val="none" w:sz="0" w:space="0" w:color="auto"/>
        <w:right w:val="none" w:sz="0" w:space="0" w:color="auto"/>
      </w:divBdr>
    </w:div>
    <w:div w:id="602809288">
      <w:marLeft w:val="0"/>
      <w:marRight w:val="0"/>
      <w:marTop w:val="0"/>
      <w:marBottom w:val="0"/>
      <w:divBdr>
        <w:top w:val="none" w:sz="0" w:space="0" w:color="auto"/>
        <w:left w:val="none" w:sz="0" w:space="0" w:color="auto"/>
        <w:bottom w:val="none" w:sz="0" w:space="0" w:color="auto"/>
        <w:right w:val="none" w:sz="0" w:space="0" w:color="auto"/>
      </w:divBdr>
    </w:div>
    <w:div w:id="602809289">
      <w:marLeft w:val="0"/>
      <w:marRight w:val="0"/>
      <w:marTop w:val="0"/>
      <w:marBottom w:val="0"/>
      <w:divBdr>
        <w:top w:val="none" w:sz="0" w:space="0" w:color="auto"/>
        <w:left w:val="none" w:sz="0" w:space="0" w:color="auto"/>
        <w:bottom w:val="none" w:sz="0" w:space="0" w:color="auto"/>
        <w:right w:val="none" w:sz="0" w:space="0" w:color="auto"/>
      </w:divBdr>
    </w:div>
    <w:div w:id="602809290">
      <w:marLeft w:val="0"/>
      <w:marRight w:val="0"/>
      <w:marTop w:val="0"/>
      <w:marBottom w:val="0"/>
      <w:divBdr>
        <w:top w:val="none" w:sz="0" w:space="0" w:color="auto"/>
        <w:left w:val="none" w:sz="0" w:space="0" w:color="auto"/>
        <w:bottom w:val="none" w:sz="0" w:space="0" w:color="auto"/>
        <w:right w:val="none" w:sz="0" w:space="0" w:color="auto"/>
      </w:divBdr>
    </w:div>
    <w:div w:id="602809291">
      <w:marLeft w:val="0"/>
      <w:marRight w:val="0"/>
      <w:marTop w:val="0"/>
      <w:marBottom w:val="0"/>
      <w:divBdr>
        <w:top w:val="none" w:sz="0" w:space="0" w:color="auto"/>
        <w:left w:val="none" w:sz="0" w:space="0" w:color="auto"/>
        <w:bottom w:val="none" w:sz="0" w:space="0" w:color="auto"/>
        <w:right w:val="none" w:sz="0" w:space="0" w:color="auto"/>
      </w:divBdr>
    </w:div>
    <w:div w:id="602809292">
      <w:marLeft w:val="0"/>
      <w:marRight w:val="0"/>
      <w:marTop w:val="0"/>
      <w:marBottom w:val="0"/>
      <w:divBdr>
        <w:top w:val="none" w:sz="0" w:space="0" w:color="auto"/>
        <w:left w:val="none" w:sz="0" w:space="0" w:color="auto"/>
        <w:bottom w:val="none" w:sz="0" w:space="0" w:color="auto"/>
        <w:right w:val="none" w:sz="0" w:space="0" w:color="auto"/>
      </w:divBdr>
    </w:div>
    <w:div w:id="602809293">
      <w:marLeft w:val="0"/>
      <w:marRight w:val="0"/>
      <w:marTop w:val="0"/>
      <w:marBottom w:val="0"/>
      <w:divBdr>
        <w:top w:val="none" w:sz="0" w:space="0" w:color="auto"/>
        <w:left w:val="none" w:sz="0" w:space="0" w:color="auto"/>
        <w:bottom w:val="none" w:sz="0" w:space="0" w:color="auto"/>
        <w:right w:val="none" w:sz="0" w:space="0" w:color="auto"/>
      </w:divBdr>
    </w:div>
    <w:div w:id="602809294">
      <w:marLeft w:val="0"/>
      <w:marRight w:val="0"/>
      <w:marTop w:val="0"/>
      <w:marBottom w:val="0"/>
      <w:divBdr>
        <w:top w:val="none" w:sz="0" w:space="0" w:color="auto"/>
        <w:left w:val="none" w:sz="0" w:space="0" w:color="auto"/>
        <w:bottom w:val="none" w:sz="0" w:space="0" w:color="auto"/>
        <w:right w:val="none" w:sz="0" w:space="0" w:color="auto"/>
      </w:divBdr>
    </w:div>
    <w:div w:id="602809295">
      <w:marLeft w:val="0"/>
      <w:marRight w:val="0"/>
      <w:marTop w:val="0"/>
      <w:marBottom w:val="0"/>
      <w:divBdr>
        <w:top w:val="none" w:sz="0" w:space="0" w:color="auto"/>
        <w:left w:val="none" w:sz="0" w:space="0" w:color="auto"/>
        <w:bottom w:val="none" w:sz="0" w:space="0" w:color="auto"/>
        <w:right w:val="none" w:sz="0" w:space="0" w:color="auto"/>
      </w:divBdr>
    </w:div>
    <w:div w:id="602809296">
      <w:marLeft w:val="0"/>
      <w:marRight w:val="0"/>
      <w:marTop w:val="0"/>
      <w:marBottom w:val="0"/>
      <w:divBdr>
        <w:top w:val="none" w:sz="0" w:space="0" w:color="auto"/>
        <w:left w:val="none" w:sz="0" w:space="0" w:color="auto"/>
        <w:bottom w:val="none" w:sz="0" w:space="0" w:color="auto"/>
        <w:right w:val="none" w:sz="0" w:space="0" w:color="auto"/>
      </w:divBdr>
    </w:div>
    <w:div w:id="602809297">
      <w:marLeft w:val="0"/>
      <w:marRight w:val="0"/>
      <w:marTop w:val="0"/>
      <w:marBottom w:val="0"/>
      <w:divBdr>
        <w:top w:val="none" w:sz="0" w:space="0" w:color="auto"/>
        <w:left w:val="none" w:sz="0" w:space="0" w:color="auto"/>
        <w:bottom w:val="none" w:sz="0" w:space="0" w:color="auto"/>
        <w:right w:val="none" w:sz="0" w:space="0" w:color="auto"/>
      </w:divBdr>
    </w:div>
    <w:div w:id="602809298">
      <w:marLeft w:val="0"/>
      <w:marRight w:val="0"/>
      <w:marTop w:val="0"/>
      <w:marBottom w:val="0"/>
      <w:divBdr>
        <w:top w:val="none" w:sz="0" w:space="0" w:color="auto"/>
        <w:left w:val="none" w:sz="0" w:space="0" w:color="auto"/>
        <w:bottom w:val="none" w:sz="0" w:space="0" w:color="auto"/>
        <w:right w:val="none" w:sz="0" w:space="0" w:color="auto"/>
      </w:divBdr>
    </w:div>
    <w:div w:id="602809299">
      <w:marLeft w:val="0"/>
      <w:marRight w:val="0"/>
      <w:marTop w:val="0"/>
      <w:marBottom w:val="0"/>
      <w:divBdr>
        <w:top w:val="none" w:sz="0" w:space="0" w:color="auto"/>
        <w:left w:val="none" w:sz="0" w:space="0" w:color="auto"/>
        <w:bottom w:val="none" w:sz="0" w:space="0" w:color="auto"/>
        <w:right w:val="none" w:sz="0" w:space="0" w:color="auto"/>
      </w:divBdr>
    </w:div>
    <w:div w:id="602809300">
      <w:marLeft w:val="0"/>
      <w:marRight w:val="0"/>
      <w:marTop w:val="0"/>
      <w:marBottom w:val="0"/>
      <w:divBdr>
        <w:top w:val="none" w:sz="0" w:space="0" w:color="auto"/>
        <w:left w:val="none" w:sz="0" w:space="0" w:color="auto"/>
        <w:bottom w:val="none" w:sz="0" w:space="0" w:color="auto"/>
        <w:right w:val="none" w:sz="0" w:space="0" w:color="auto"/>
      </w:divBdr>
    </w:div>
    <w:div w:id="602809301">
      <w:marLeft w:val="0"/>
      <w:marRight w:val="0"/>
      <w:marTop w:val="0"/>
      <w:marBottom w:val="0"/>
      <w:divBdr>
        <w:top w:val="none" w:sz="0" w:space="0" w:color="auto"/>
        <w:left w:val="none" w:sz="0" w:space="0" w:color="auto"/>
        <w:bottom w:val="none" w:sz="0" w:space="0" w:color="auto"/>
        <w:right w:val="none" w:sz="0" w:space="0" w:color="auto"/>
      </w:divBdr>
    </w:div>
    <w:div w:id="602809302">
      <w:marLeft w:val="0"/>
      <w:marRight w:val="0"/>
      <w:marTop w:val="0"/>
      <w:marBottom w:val="0"/>
      <w:divBdr>
        <w:top w:val="none" w:sz="0" w:space="0" w:color="auto"/>
        <w:left w:val="none" w:sz="0" w:space="0" w:color="auto"/>
        <w:bottom w:val="none" w:sz="0" w:space="0" w:color="auto"/>
        <w:right w:val="none" w:sz="0" w:space="0" w:color="auto"/>
      </w:divBdr>
    </w:div>
    <w:div w:id="602809303">
      <w:marLeft w:val="0"/>
      <w:marRight w:val="0"/>
      <w:marTop w:val="0"/>
      <w:marBottom w:val="0"/>
      <w:divBdr>
        <w:top w:val="none" w:sz="0" w:space="0" w:color="auto"/>
        <w:left w:val="none" w:sz="0" w:space="0" w:color="auto"/>
        <w:bottom w:val="none" w:sz="0" w:space="0" w:color="auto"/>
        <w:right w:val="none" w:sz="0" w:space="0" w:color="auto"/>
      </w:divBdr>
    </w:div>
    <w:div w:id="602809304">
      <w:marLeft w:val="0"/>
      <w:marRight w:val="0"/>
      <w:marTop w:val="0"/>
      <w:marBottom w:val="0"/>
      <w:divBdr>
        <w:top w:val="none" w:sz="0" w:space="0" w:color="auto"/>
        <w:left w:val="none" w:sz="0" w:space="0" w:color="auto"/>
        <w:bottom w:val="none" w:sz="0" w:space="0" w:color="auto"/>
        <w:right w:val="none" w:sz="0" w:space="0" w:color="auto"/>
      </w:divBdr>
    </w:div>
    <w:div w:id="602809305">
      <w:marLeft w:val="0"/>
      <w:marRight w:val="0"/>
      <w:marTop w:val="0"/>
      <w:marBottom w:val="0"/>
      <w:divBdr>
        <w:top w:val="none" w:sz="0" w:space="0" w:color="auto"/>
        <w:left w:val="none" w:sz="0" w:space="0" w:color="auto"/>
        <w:bottom w:val="none" w:sz="0" w:space="0" w:color="auto"/>
        <w:right w:val="none" w:sz="0" w:space="0" w:color="auto"/>
      </w:divBdr>
    </w:div>
    <w:div w:id="602809306">
      <w:marLeft w:val="0"/>
      <w:marRight w:val="0"/>
      <w:marTop w:val="0"/>
      <w:marBottom w:val="0"/>
      <w:divBdr>
        <w:top w:val="none" w:sz="0" w:space="0" w:color="auto"/>
        <w:left w:val="none" w:sz="0" w:space="0" w:color="auto"/>
        <w:bottom w:val="none" w:sz="0" w:space="0" w:color="auto"/>
        <w:right w:val="none" w:sz="0" w:space="0" w:color="auto"/>
      </w:divBdr>
    </w:div>
    <w:div w:id="602809307">
      <w:marLeft w:val="0"/>
      <w:marRight w:val="0"/>
      <w:marTop w:val="0"/>
      <w:marBottom w:val="0"/>
      <w:divBdr>
        <w:top w:val="none" w:sz="0" w:space="0" w:color="auto"/>
        <w:left w:val="none" w:sz="0" w:space="0" w:color="auto"/>
        <w:bottom w:val="none" w:sz="0" w:space="0" w:color="auto"/>
        <w:right w:val="none" w:sz="0" w:space="0" w:color="auto"/>
      </w:divBdr>
    </w:div>
    <w:div w:id="602809308">
      <w:marLeft w:val="0"/>
      <w:marRight w:val="0"/>
      <w:marTop w:val="0"/>
      <w:marBottom w:val="0"/>
      <w:divBdr>
        <w:top w:val="none" w:sz="0" w:space="0" w:color="auto"/>
        <w:left w:val="none" w:sz="0" w:space="0" w:color="auto"/>
        <w:bottom w:val="none" w:sz="0" w:space="0" w:color="auto"/>
        <w:right w:val="none" w:sz="0" w:space="0" w:color="auto"/>
      </w:divBdr>
    </w:div>
    <w:div w:id="602809309">
      <w:marLeft w:val="0"/>
      <w:marRight w:val="0"/>
      <w:marTop w:val="0"/>
      <w:marBottom w:val="0"/>
      <w:divBdr>
        <w:top w:val="none" w:sz="0" w:space="0" w:color="auto"/>
        <w:left w:val="none" w:sz="0" w:space="0" w:color="auto"/>
        <w:bottom w:val="none" w:sz="0" w:space="0" w:color="auto"/>
        <w:right w:val="none" w:sz="0" w:space="0" w:color="auto"/>
      </w:divBdr>
    </w:div>
    <w:div w:id="602809310">
      <w:marLeft w:val="0"/>
      <w:marRight w:val="0"/>
      <w:marTop w:val="0"/>
      <w:marBottom w:val="0"/>
      <w:divBdr>
        <w:top w:val="none" w:sz="0" w:space="0" w:color="auto"/>
        <w:left w:val="none" w:sz="0" w:space="0" w:color="auto"/>
        <w:bottom w:val="none" w:sz="0" w:space="0" w:color="auto"/>
        <w:right w:val="none" w:sz="0" w:space="0" w:color="auto"/>
      </w:divBdr>
    </w:div>
    <w:div w:id="602809311">
      <w:marLeft w:val="0"/>
      <w:marRight w:val="0"/>
      <w:marTop w:val="0"/>
      <w:marBottom w:val="0"/>
      <w:divBdr>
        <w:top w:val="none" w:sz="0" w:space="0" w:color="auto"/>
        <w:left w:val="none" w:sz="0" w:space="0" w:color="auto"/>
        <w:bottom w:val="none" w:sz="0" w:space="0" w:color="auto"/>
        <w:right w:val="none" w:sz="0" w:space="0" w:color="auto"/>
      </w:divBdr>
    </w:div>
    <w:div w:id="602809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EC86E5D2-C80C-4FC3-9FD9-8D44F4610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F0637B-87EE-4AEE-9C05-D26BF788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הצעת חוק האגודות העותומניות (רישום ופיקוח), התשע"ו-2016</vt:lpstr>
    </vt:vector>
  </TitlesOfParts>
  <Company>Knesset</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האגודות העותומניות (רישום ופיקוח), התשע"ו-2016</dc:title>
  <dc:subject/>
  <dc:creator>מיקה צור</dc:creator>
  <cp:keywords/>
  <dc:description/>
  <cp:lastModifiedBy>Shuki</cp:lastModifiedBy>
  <cp:revision>2</cp:revision>
  <cp:lastPrinted>2016-07-27T16:03:00Z</cp:lastPrinted>
  <dcterms:created xsi:type="dcterms:W3CDTF">2016-11-24T13:08:00Z</dcterms:created>
  <dcterms:modified xsi:type="dcterms:W3CDTF">2016-11-24T13:08:00Z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2004428</vt:r8>
  </property>
  <property fmtid="{D5CDD505-2E9C-101B-9397-08002B2CF9AE}" pid="6" name="Autonumber">
    <vt:lpwstr>347538</vt:lpwstr>
  </property>
  <property fmtid="{D5CDD505-2E9C-101B-9397-08002B2CF9AE}" pid="7" name="title">
    <vt:lpwstr>הצעת חוק האגודות העותומניות (רישום ופיקוח), התשע"ו-2016</vt:lpwstr>
  </property>
  <property fmtid="{D5CDD505-2E9C-101B-9397-08002B2CF9AE}" pid="8" name="SDAuthor">
    <vt:lpwstr>אורית להב</vt:lpwstr>
  </property>
  <property fmtid="{D5CDD505-2E9C-101B-9397-08002B2CF9AE}" pid="9" name="SDDocDate">
    <vt:lpwstr>2016-07-21T13:11:13+03:00</vt:lpwstr>
  </property>
  <property fmtid="{D5CDD505-2E9C-101B-9397-08002B2CF9AE}" pid="10" name="LSITEMID">
    <vt:lpwstr>2004428</vt:lpwstr>
  </property>
  <property fmtid="{D5CDD505-2E9C-101B-9397-08002B2CF9AE}" pid="11" name="LSSUBJECT">
    <vt:lpwstr>הצעת חוק האגודות העותומניות (רישום ופיקוח), התשע"ו-2016</vt:lpwstr>
  </property>
  <property fmtid="{D5CDD505-2E9C-101B-9397-08002B2CF9AE}" pid="12" name="LSKNESSETID">
    <vt:lpwstr>20</vt:lpwstr>
  </property>
  <property fmtid="{D5CDD505-2E9C-101B-9397-08002B2CF9AE}" pid="13" name="USNAME">
    <vt:lpwstr> </vt:lpwstr>
  </property>
  <property fmtid="{D5CDD505-2E9C-101B-9397-08002B2CF9AE}" pid="14" name="DTCOUNTER">
    <vt:lpwstr>866963</vt:lpwstr>
  </property>
  <property fmtid="{D5CDD505-2E9C-101B-9397-08002B2CF9AE}" pid="15" name="תאריך הנחה">
    <vt:lpwstr>08/01/2016</vt:lpwstr>
  </property>
  <property fmtid="{D5CDD505-2E9C-101B-9397-08002B2CF9AE}" pid="16" name="PLACE_DATE">
    <vt:lpwstr>01/08/2016 00:00:00</vt:lpwstr>
  </property>
  <property fmtid="{D5CDD505-2E9C-101B-9397-08002B2CF9AE}" pid="17" name="VAADA">
    <vt:lpwstr/>
  </property>
  <property fmtid="{D5CDD505-2E9C-101B-9397-08002B2CF9AE}" pid="18" name="YOZEMHATZAA_CHAKLIST">
    <vt:lpwstr>עליזה לביא, זאב בנימין בגין, יהודה גליק, מיקי לוי, עפר שלח, יעקב פרי, רועי פולקמן, בצלאל סמוטריץ', מרב מיכאלי</vt:lpwstr>
  </property>
  <property fmtid="{D5CDD505-2E9C-101B-9397-08002B2CF9AE}" pid="19" name="YOZEMID">
    <vt:lpwstr>000023599, 000002178, 000030494, 000023632, 000023600, 000023598, 000030084, 000030055, 000023565</vt:lpwstr>
  </property>
  <property fmtid="{D5CDD505-2E9C-101B-9397-08002B2CF9AE}" pid="20" name="PROPOSER">
    <vt:lpwstr/>
  </property>
  <property fmtid="{D5CDD505-2E9C-101B-9397-08002B2CF9AE}" pid="21" name="PROPOSERID">
    <vt:lpwstr/>
  </property>
  <property fmtid="{D5CDD505-2E9C-101B-9397-08002B2CF9AE}" pid="22" name="MISHATZAATCHOK">
    <vt:lpwstr>פ/3250/20</vt:lpwstr>
  </property>
</Properties>
</file>