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2C" w:rsidRPr="00961C2C" w:rsidRDefault="00961C2C" w:rsidP="00961C2C">
      <w:pPr>
        <w:widowControl/>
        <w:autoSpaceDE/>
        <w:adjustRightInd/>
        <w:spacing w:after="240" w:line="360" w:lineRule="auto"/>
        <w:jc w:val="center"/>
        <w:textAlignment w:val="auto"/>
        <w:rPr>
          <w:rFonts w:ascii="Times New Roman" w:eastAsia="Times New Roman" w:hAnsi="Times New Roman" w:cs="David"/>
          <w:b/>
          <w:bCs/>
          <w:color w:val="auto"/>
          <w:spacing w:val="0"/>
          <w:sz w:val="26"/>
          <w:szCs w:val="26"/>
          <w:u w:val="single"/>
          <w:rtl/>
          <w:lang w:eastAsia="he-IL"/>
        </w:rPr>
      </w:pPr>
      <w:r w:rsidRPr="00961C2C">
        <w:rPr>
          <w:rFonts w:ascii="Times New Roman" w:eastAsia="Times New Roman" w:hAnsi="Times New Roman" w:cs="David" w:hint="cs"/>
          <w:b/>
          <w:bCs/>
          <w:color w:val="auto"/>
          <w:spacing w:val="0"/>
          <w:sz w:val="26"/>
          <w:szCs w:val="26"/>
          <w:u w:val="single"/>
          <w:rtl/>
          <w:lang w:eastAsia="he-IL"/>
        </w:rPr>
        <w:t>תזכיר חוק</w:t>
      </w:r>
    </w:p>
    <w:p w:rsidR="001D7F59" w:rsidRPr="00260BFA" w:rsidRDefault="001D7F59" w:rsidP="001D7F59">
      <w:pPr>
        <w:widowControl/>
        <w:numPr>
          <w:ilvl w:val="0"/>
          <w:numId w:val="14"/>
        </w:numPr>
        <w:tabs>
          <w:tab w:val="num" w:pos="33"/>
        </w:tabs>
        <w:autoSpaceDE/>
        <w:adjustRightInd/>
        <w:spacing w:after="240" w:line="360" w:lineRule="auto"/>
        <w:ind w:left="33"/>
        <w:jc w:val="left"/>
        <w:textAlignment w:val="auto"/>
        <w:rPr>
          <w:rFonts w:ascii="Times New Roman" w:eastAsia="Times New Roman" w:hAnsi="Times New Roman" w:cs="David"/>
          <w:b/>
          <w:bCs/>
          <w:color w:val="auto"/>
          <w:spacing w:val="0"/>
          <w:sz w:val="26"/>
          <w:szCs w:val="26"/>
          <w:u w:val="single"/>
          <w:rtl/>
          <w:lang w:eastAsia="he-IL"/>
        </w:rPr>
      </w:pPr>
      <w:r w:rsidRPr="00260BFA">
        <w:rPr>
          <w:rFonts w:ascii="Times New Roman" w:eastAsia="Times New Roman" w:hAnsi="Times New Roman" w:cs="David" w:hint="cs"/>
          <w:b/>
          <w:bCs/>
          <w:color w:val="auto"/>
          <w:spacing w:val="0"/>
          <w:sz w:val="26"/>
          <w:szCs w:val="26"/>
          <w:u w:val="single"/>
          <w:rtl/>
          <w:lang w:eastAsia="he-IL"/>
        </w:rPr>
        <w:t>שם החוק המוצע</w:t>
      </w:r>
    </w:p>
    <w:p w:rsidR="001D7F59" w:rsidRPr="00260BFA" w:rsidRDefault="001D7F59" w:rsidP="00F4272F">
      <w:pPr>
        <w:widowControl/>
        <w:autoSpaceDE/>
        <w:adjustRightInd/>
        <w:spacing w:after="240" w:line="360" w:lineRule="auto"/>
        <w:ind w:left="33" w:firstLine="0"/>
        <w:jc w:val="left"/>
        <w:rPr>
          <w:rFonts w:ascii="Times New Roman" w:eastAsia="Times New Roman" w:hAnsi="Times New Roman" w:cs="David"/>
          <w:color w:val="auto"/>
          <w:spacing w:val="0"/>
          <w:sz w:val="26"/>
          <w:szCs w:val="26"/>
          <w:lang w:eastAsia="he-IL"/>
        </w:rPr>
      </w:pPr>
      <w:r w:rsidRPr="00260BFA">
        <w:rPr>
          <w:rFonts w:ascii="Times New Roman" w:eastAsia="Times New Roman" w:hAnsi="Times New Roman" w:cs="David" w:hint="cs"/>
          <w:color w:val="auto"/>
          <w:spacing w:val="0"/>
          <w:sz w:val="26"/>
          <w:szCs w:val="26"/>
          <w:rtl/>
          <w:lang w:eastAsia="he-IL"/>
        </w:rPr>
        <w:t>הצעת</w:t>
      </w:r>
      <w:r w:rsidRPr="00260BFA">
        <w:rPr>
          <w:rFonts w:ascii="Times New Roman" w:eastAsia="Times New Roman" w:hAnsi="Times New Roman" w:cs="David"/>
          <w:color w:val="auto"/>
          <w:spacing w:val="0"/>
          <w:sz w:val="26"/>
          <w:szCs w:val="26"/>
          <w:rtl/>
          <w:lang w:eastAsia="he-IL"/>
        </w:rPr>
        <w:t xml:space="preserve"> </w:t>
      </w:r>
      <w:r w:rsidRPr="00260BFA">
        <w:rPr>
          <w:rFonts w:ascii="Times New Roman" w:eastAsia="Times New Roman" w:hAnsi="Times New Roman" w:cs="David" w:hint="cs"/>
          <w:color w:val="auto"/>
          <w:spacing w:val="0"/>
          <w:sz w:val="26"/>
          <w:szCs w:val="26"/>
          <w:rtl/>
          <w:lang w:eastAsia="he-IL"/>
        </w:rPr>
        <w:t>חוק</w:t>
      </w:r>
      <w:r w:rsidRPr="00260BFA">
        <w:rPr>
          <w:rFonts w:ascii="Times New Roman" w:eastAsia="Times New Roman" w:hAnsi="Times New Roman" w:cs="David"/>
          <w:color w:val="auto"/>
          <w:spacing w:val="0"/>
          <w:sz w:val="26"/>
          <w:szCs w:val="26"/>
          <w:rtl/>
          <w:lang w:eastAsia="he-IL"/>
        </w:rPr>
        <w:t xml:space="preserve"> </w:t>
      </w:r>
      <w:r>
        <w:rPr>
          <w:rFonts w:ascii="Times New Roman" w:eastAsia="Times New Roman" w:hAnsi="Times New Roman" w:cs="David" w:hint="cs"/>
          <w:color w:val="auto"/>
          <w:spacing w:val="0"/>
          <w:sz w:val="26"/>
          <w:szCs w:val="26"/>
          <w:rtl/>
          <w:lang w:eastAsia="he-IL"/>
        </w:rPr>
        <w:t>הרשות השני</w:t>
      </w:r>
      <w:r w:rsidR="004E2025">
        <w:rPr>
          <w:rFonts w:ascii="Times New Roman" w:eastAsia="Times New Roman" w:hAnsi="Times New Roman" w:cs="David" w:hint="cs"/>
          <w:color w:val="auto"/>
          <w:spacing w:val="0"/>
          <w:sz w:val="26"/>
          <w:szCs w:val="26"/>
          <w:rtl/>
          <w:lang w:eastAsia="he-IL"/>
        </w:rPr>
        <w:t>י</w:t>
      </w:r>
      <w:r>
        <w:rPr>
          <w:rFonts w:ascii="Times New Roman" w:eastAsia="Times New Roman" w:hAnsi="Times New Roman" w:cs="David" w:hint="cs"/>
          <w:color w:val="auto"/>
          <w:spacing w:val="0"/>
          <w:sz w:val="26"/>
          <w:szCs w:val="26"/>
          <w:rtl/>
          <w:lang w:eastAsia="he-IL"/>
        </w:rPr>
        <w:t>ה לטלוויזי</w:t>
      </w:r>
      <w:r>
        <w:rPr>
          <w:rFonts w:ascii="Times New Roman" w:eastAsia="Times New Roman" w:hAnsi="Times New Roman" w:cs="David" w:hint="eastAsia"/>
          <w:color w:val="auto"/>
          <w:spacing w:val="0"/>
          <w:sz w:val="26"/>
          <w:szCs w:val="26"/>
          <w:rtl/>
          <w:lang w:eastAsia="he-IL"/>
        </w:rPr>
        <w:t>ה</w:t>
      </w:r>
      <w:r w:rsidR="00F4272F">
        <w:rPr>
          <w:rFonts w:ascii="Times New Roman" w:eastAsia="Times New Roman" w:hAnsi="Times New Roman" w:cs="David" w:hint="cs"/>
          <w:color w:val="auto"/>
          <w:spacing w:val="0"/>
          <w:sz w:val="26"/>
          <w:szCs w:val="26"/>
          <w:rtl/>
          <w:lang w:eastAsia="he-IL"/>
        </w:rPr>
        <w:t xml:space="preserve"> ורדיו </w:t>
      </w:r>
      <w:r w:rsidRPr="00260BFA">
        <w:rPr>
          <w:rFonts w:ascii="Times New Roman" w:eastAsia="Times New Roman" w:hAnsi="Times New Roman" w:cs="David"/>
          <w:color w:val="auto"/>
          <w:spacing w:val="0"/>
          <w:sz w:val="26"/>
          <w:szCs w:val="26"/>
          <w:rtl/>
          <w:lang w:eastAsia="he-IL"/>
        </w:rPr>
        <w:t>(</w:t>
      </w:r>
      <w:r w:rsidRPr="00260BFA">
        <w:rPr>
          <w:rFonts w:ascii="Times New Roman" w:eastAsia="Times New Roman" w:hAnsi="Times New Roman" w:cs="David" w:hint="cs"/>
          <w:color w:val="auto"/>
          <w:spacing w:val="0"/>
          <w:sz w:val="26"/>
          <w:szCs w:val="26"/>
          <w:rtl/>
          <w:lang w:eastAsia="he-IL"/>
        </w:rPr>
        <w:t>תיקון</w:t>
      </w:r>
      <w:r w:rsidRPr="00260BFA">
        <w:rPr>
          <w:rFonts w:ascii="Times New Roman" w:eastAsia="Times New Roman" w:hAnsi="Times New Roman" w:cs="David"/>
          <w:color w:val="auto"/>
          <w:spacing w:val="0"/>
          <w:sz w:val="26"/>
          <w:szCs w:val="26"/>
          <w:rtl/>
          <w:lang w:eastAsia="he-IL"/>
        </w:rPr>
        <w:t xml:space="preserve"> </w:t>
      </w:r>
      <w:r w:rsidRPr="00260BFA">
        <w:rPr>
          <w:rFonts w:ascii="Times New Roman" w:eastAsia="Times New Roman" w:hAnsi="Times New Roman" w:cs="David" w:hint="cs"/>
          <w:color w:val="auto"/>
          <w:spacing w:val="0"/>
          <w:sz w:val="26"/>
          <w:szCs w:val="26"/>
          <w:rtl/>
          <w:lang w:eastAsia="he-IL"/>
        </w:rPr>
        <w:t>מס</w:t>
      </w:r>
      <w:r w:rsidRPr="00260BFA">
        <w:rPr>
          <w:rFonts w:ascii="Times New Roman" w:eastAsia="Times New Roman" w:hAnsi="Times New Roman" w:cs="David"/>
          <w:color w:val="auto"/>
          <w:spacing w:val="0"/>
          <w:sz w:val="26"/>
          <w:szCs w:val="26"/>
          <w:rtl/>
          <w:lang w:eastAsia="he-IL"/>
        </w:rPr>
        <w:t>'</w:t>
      </w:r>
      <w:r w:rsidR="004A5083">
        <w:rPr>
          <w:rFonts w:ascii="Times New Roman" w:eastAsia="Times New Roman" w:hAnsi="Times New Roman" w:cs="David" w:hint="cs"/>
          <w:color w:val="auto"/>
          <w:spacing w:val="0"/>
          <w:sz w:val="26"/>
          <w:szCs w:val="26"/>
          <w:rtl/>
          <w:lang w:eastAsia="he-IL"/>
        </w:rPr>
        <w:t>...</w:t>
      </w:r>
      <w:r>
        <w:rPr>
          <w:rFonts w:ascii="Times New Roman" w:eastAsia="Times New Roman" w:hAnsi="Times New Roman" w:cs="David" w:hint="cs"/>
          <w:color w:val="auto"/>
          <w:spacing w:val="0"/>
          <w:sz w:val="26"/>
          <w:szCs w:val="26"/>
          <w:rtl/>
          <w:lang w:eastAsia="he-IL"/>
        </w:rPr>
        <w:t xml:space="preserve">   </w:t>
      </w:r>
      <w:r w:rsidRPr="00260BFA">
        <w:rPr>
          <w:rFonts w:ascii="Times New Roman" w:eastAsia="Times New Roman" w:hAnsi="Times New Roman" w:cs="David"/>
          <w:color w:val="auto"/>
          <w:spacing w:val="0"/>
          <w:sz w:val="26"/>
          <w:szCs w:val="26"/>
          <w:rtl/>
          <w:lang w:eastAsia="he-IL"/>
        </w:rPr>
        <w:t xml:space="preserve">), </w:t>
      </w:r>
      <w:r w:rsidRPr="00260BFA">
        <w:rPr>
          <w:rFonts w:ascii="Times New Roman" w:eastAsia="Times New Roman" w:hAnsi="Times New Roman" w:cs="David" w:hint="cs"/>
          <w:color w:val="auto"/>
          <w:spacing w:val="0"/>
          <w:sz w:val="26"/>
          <w:szCs w:val="26"/>
          <w:rtl/>
          <w:lang w:eastAsia="he-IL"/>
        </w:rPr>
        <w:t>התשע</w:t>
      </w:r>
      <w:r w:rsidRPr="00260BFA">
        <w:rPr>
          <w:rFonts w:ascii="Times New Roman" w:eastAsia="Times New Roman" w:hAnsi="Times New Roman" w:cs="David"/>
          <w:color w:val="auto"/>
          <w:spacing w:val="0"/>
          <w:sz w:val="26"/>
          <w:szCs w:val="26"/>
          <w:rtl/>
          <w:lang w:eastAsia="he-IL"/>
        </w:rPr>
        <w:t>"</w:t>
      </w:r>
      <w:r w:rsidRPr="00260BFA">
        <w:rPr>
          <w:rFonts w:ascii="Times New Roman" w:eastAsia="Times New Roman" w:hAnsi="Times New Roman" w:cs="David" w:hint="cs"/>
          <w:color w:val="auto"/>
          <w:spacing w:val="0"/>
          <w:sz w:val="26"/>
          <w:szCs w:val="26"/>
          <w:rtl/>
          <w:lang w:eastAsia="he-IL"/>
        </w:rPr>
        <w:t>ד</w:t>
      </w:r>
      <w:r w:rsidRPr="00260BFA">
        <w:rPr>
          <w:rFonts w:ascii="Times New Roman" w:eastAsia="Times New Roman" w:hAnsi="Times New Roman" w:cs="David"/>
          <w:color w:val="auto"/>
          <w:spacing w:val="0"/>
          <w:sz w:val="26"/>
          <w:szCs w:val="26"/>
          <w:rtl/>
          <w:lang w:eastAsia="he-IL"/>
        </w:rPr>
        <w:t>-2014</w:t>
      </w:r>
      <w:r w:rsidRPr="00260BFA">
        <w:rPr>
          <w:rFonts w:ascii="Times New Roman" w:eastAsia="Times New Roman" w:hAnsi="Times New Roman" w:cs="David" w:hint="cs"/>
          <w:color w:val="auto"/>
          <w:spacing w:val="0"/>
          <w:sz w:val="26"/>
          <w:szCs w:val="26"/>
          <w:rtl/>
          <w:lang w:eastAsia="he-IL"/>
        </w:rPr>
        <w:t xml:space="preserve"> </w:t>
      </w:r>
    </w:p>
    <w:p w:rsidR="001D7F59" w:rsidRDefault="001D7F59" w:rsidP="001D7F59">
      <w:pPr>
        <w:widowControl/>
        <w:numPr>
          <w:ilvl w:val="0"/>
          <w:numId w:val="14"/>
        </w:numPr>
        <w:tabs>
          <w:tab w:val="num" w:pos="33"/>
        </w:tabs>
        <w:autoSpaceDE/>
        <w:adjustRightInd/>
        <w:spacing w:after="240" w:line="360" w:lineRule="auto"/>
        <w:ind w:left="33"/>
        <w:textAlignment w:val="auto"/>
        <w:rPr>
          <w:rFonts w:ascii="Times New Roman" w:eastAsia="Times New Roman" w:hAnsi="Times New Roman" w:cs="David"/>
          <w:b/>
          <w:bCs/>
          <w:color w:val="auto"/>
          <w:spacing w:val="0"/>
          <w:sz w:val="26"/>
          <w:szCs w:val="26"/>
          <w:u w:val="single"/>
          <w:lang w:eastAsia="he-IL"/>
        </w:rPr>
      </w:pPr>
      <w:r w:rsidRPr="00260BFA">
        <w:rPr>
          <w:rFonts w:ascii="Times New Roman" w:eastAsia="Times New Roman" w:hAnsi="Times New Roman" w:cs="David" w:hint="cs"/>
          <w:b/>
          <w:bCs/>
          <w:color w:val="auto"/>
          <w:spacing w:val="0"/>
          <w:sz w:val="26"/>
          <w:szCs w:val="26"/>
          <w:u w:val="single"/>
          <w:rtl/>
          <w:lang w:eastAsia="he-IL"/>
        </w:rPr>
        <w:t>מטרת החוק המוצע והצורך בו</w:t>
      </w:r>
    </w:p>
    <w:p w:rsidR="00F4272F" w:rsidRPr="00F4272F" w:rsidRDefault="00F4272F" w:rsidP="007F6D9F">
      <w:pPr>
        <w:widowControl/>
        <w:spacing w:before="0" w:line="360" w:lineRule="auto"/>
        <w:ind w:firstLine="0"/>
        <w:textAlignment w:val="auto"/>
        <w:rPr>
          <w:rFonts w:ascii="HadasaMFOMedium" w:hAnsi="Times New Roman" w:cs="David"/>
          <w:color w:val="auto"/>
          <w:spacing w:val="0"/>
          <w:sz w:val="26"/>
          <w:szCs w:val="26"/>
          <w:rtl/>
          <w:lang w:eastAsia="en-US"/>
        </w:rPr>
      </w:pPr>
      <w:r w:rsidRPr="00F4272F">
        <w:rPr>
          <w:rFonts w:ascii="HadasaMFOMedium" w:hAnsi="Times New Roman" w:cs="David" w:hint="cs"/>
          <w:color w:val="auto"/>
          <w:spacing w:val="0"/>
          <w:sz w:val="26"/>
          <w:szCs w:val="26"/>
          <w:rtl/>
          <w:lang w:eastAsia="en-US"/>
        </w:rPr>
        <w:t xml:space="preserve">בתיקון מס' 33 לחוק הרשות השנייה לטלוויזיה ורדיו, התש"ן-1990 (להלן </w:t>
      </w:r>
      <w:r w:rsidRPr="00F4272F">
        <w:rPr>
          <w:rFonts w:ascii="HadasaMFOMedium" w:hAnsi="Times New Roman" w:cs="David"/>
          <w:color w:val="auto"/>
          <w:spacing w:val="0"/>
          <w:sz w:val="26"/>
          <w:szCs w:val="26"/>
          <w:rtl/>
          <w:lang w:eastAsia="en-US"/>
        </w:rPr>
        <w:t>–</w:t>
      </w:r>
      <w:r w:rsidRPr="00F4272F">
        <w:rPr>
          <w:rFonts w:ascii="HadasaMFOMedium" w:hAnsi="Times New Roman" w:cs="David" w:hint="cs"/>
          <w:color w:val="auto"/>
          <w:spacing w:val="0"/>
          <w:sz w:val="26"/>
          <w:szCs w:val="26"/>
          <w:rtl/>
          <w:lang w:eastAsia="en-US"/>
        </w:rPr>
        <w:t xml:space="preserve"> החוק), שונתה </w:t>
      </w:r>
      <w:r w:rsidRPr="00F4272F">
        <w:rPr>
          <w:rFonts w:ascii="HadasaMFOMedium" w:hAnsi="Times New Roman" w:cs="David"/>
          <w:color w:val="auto"/>
          <w:spacing w:val="0"/>
          <w:sz w:val="26"/>
          <w:szCs w:val="26"/>
          <w:rtl/>
          <w:lang w:eastAsia="en-US"/>
        </w:rPr>
        <w:t>שיטת ה</w:t>
      </w:r>
      <w:r w:rsidRPr="00F4272F">
        <w:rPr>
          <w:rFonts w:ascii="HadasaMFOMedium" w:hAnsi="Times New Roman" w:cs="David" w:hint="cs"/>
          <w:color w:val="auto"/>
          <w:spacing w:val="0"/>
          <w:sz w:val="26"/>
          <w:szCs w:val="26"/>
          <w:rtl/>
          <w:lang w:eastAsia="en-US"/>
        </w:rPr>
        <w:t>א</w:t>
      </w:r>
      <w:r w:rsidRPr="00F4272F">
        <w:rPr>
          <w:rFonts w:ascii="HadasaMFOMedium" w:hAnsi="Times New Roman" w:cs="David"/>
          <w:color w:val="auto"/>
          <w:spacing w:val="0"/>
          <w:sz w:val="26"/>
          <w:szCs w:val="26"/>
          <w:rtl/>
          <w:lang w:eastAsia="en-US"/>
        </w:rPr>
        <w:t>סדרה בתחום</w:t>
      </w:r>
      <w:r w:rsidRPr="00F4272F">
        <w:rPr>
          <w:rFonts w:ascii="HadasaMFOMedium" w:hAnsi="Times New Roman" w:cs="David" w:hint="cs"/>
          <w:color w:val="auto"/>
          <w:spacing w:val="0"/>
          <w:sz w:val="26"/>
          <w:szCs w:val="26"/>
          <w:rtl/>
          <w:lang w:eastAsia="en-US"/>
        </w:rPr>
        <w:t xml:space="preserve"> </w:t>
      </w:r>
      <w:r w:rsidRPr="00F4272F">
        <w:rPr>
          <w:rFonts w:ascii="HadasaMFOMedium" w:hAnsi="Times New Roman" w:cs="David"/>
          <w:color w:val="auto"/>
          <w:spacing w:val="0"/>
          <w:sz w:val="26"/>
          <w:szCs w:val="26"/>
          <w:rtl/>
          <w:lang w:eastAsia="en-US"/>
        </w:rPr>
        <w:t>השידורים המסחריים, כך שלא יוענקו עוד זיכיונות לשידורי</w:t>
      </w:r>
      <w:r w:rsidRPr="00F4272F">
        <w:rPr>
          <w:rFonts w:ascii="HadasaMFOMedium" w:hAnsi="Times New Roman" w:cs="David" w:hint="cs"/>
          <w:color w:val="auto"/>
          <w:spacing w:val="0"/>
          <w:sz w:val="26"/>
          <w:szCs w:val="26"/>
          <w:rtl/>
          <w:lang w:eastAsia="en-US"/>
        </w:rPr>
        <w:t xml:space="preserve"> </w:t>
      </w:r>
      <w:r w:rsidRPr="00F4272F">
        <w:rPr>
          <w:rFonts w:ascii="HadasaMFOMedium" w:hAnsi="Times New Roman" w:cs="David"/>
          <w:color w:val="auto"/>
          <w:spacing w:val="0"/>
          <w:sz w:val="26"/>
          <w:szCs w:val="26"/>
          <w:rtl/>
          <w:lang w:eastAsia="en-US"/>
        </w:rPr>
        <w:t>טלוויזיה מסחריים ובמקומם יוענקו רישיונות לשידורי</w:t>
      </w:r>
      <w:r w:rsidRPr="00F4272F">
        <w:rPr>
          <w:rFonts w:ascii="HadasaMFOMedium" w:hAnsi="Times New Roman" w:cs="David" w:hint="cs"/>
          <w:color w:val="auto"/>
          <w:spacing w:val="0"/>
          <w:sz w:val="26"/>
          <w:szCs w:val="26"/>
          <w:rtl/>
          <w:lang w:eastAsia="en-US"/>
        </w:rPr>
        <w:t xml:space="preserve"> </w:t>
      </w:r>
      <w:r w:rsidRPr="00F4272F">
        <w:rPr>
          <w:rFonts w:ascii="HadasaMFOMedium" w:hAnsi="Times New Roman" w:cs="David"/>
          <w:color w:val="auto"/>
          <w:spacing w:val="0"/>
          <w:sz w:val="26"/>
          <w:szCs w:val="26"/>
          <w:rtl/>
          <w:lang w:eastAsia="en-US"/>
        </w:rPr>
        <w:t xml:space="preserve">טלוויזיה מסחריים </w:t>
      </w:r>
      <w:r w:rsidRPr="00F4272F">
        <w:rPr>
          <w:rFonts w:ascii="HadasaMFOMedium" w:hAnsi="Times New Roman" w:cs="David" w:hint="cs"/>
          <w:color w:val="auto"/>
          <w:spacing w:val="0"/>
          <w:sz w:val="26"/>
          <w:szCs w:val="26"/>
          <w:rtl/>
          <w:lang w:eastAsia="en-US"/>
        </w:rPr>
        <w:t xml:space="preserve"> (</w:t>
      </w:r>
      <w:r w:rsidRPr="00F4272F">
        <w:rPr>
          <w:rFonts w:ascii="HadasaMFOMedium" w:hAnsi="Times New Roman" w:cs="David"/>
          <w:color w:val="auto"/>
          <w:spacing w:val="0"/>
          <w:sz w:val="26"/>
          <w:szCs w:val="26"/>
          <w:rtl/>
          <w:lang w:eastAsia="en-US"/>
        </w:rPr>
        <w:t>להלן</w:t>
      </w:r>
      <w:r w:rsidRPr="00F4272F">
        <w:rPr>
          <w:rFonts w:ascii="HadasaMFOMedium" w:hAnsi="Times New Roman" w:cs="David" w:hint="cs"/>
          <w:color w:val="auto"/>
          <w:spacing w:val="0"/>
          <w:sz w:val="26"/>
          <w:szCs w:val="26"/>
          <w:rtl/>
          <w:lang w:eastAsia="en-US"/>
        </w:rPr>
        <w:t xml:space="preserve"> - </w:t>
      </w:r>
      <w:r w:rsidRPr="00F4272F">
        <w:rPr>
          <w:rFonts w:ascii="HadasaMFOMedium" w:hAnsi="Times New Roman" w:cs="David"/>
          <w:color w:val="auto"/>
          <w:spacing w:val="0"/>
          <w:sz w:val="26"/>
          <w:szCs w:val="26"/>
          <w:rtl/>
          <w:lang w:eastAsia="en-US"/>
        </w:rPr>
        <w:t>שיטת ה</w:t>
      </w:r>
      <w:r w:rsidRPr="00F4272F">
        <w:rPr>
          <w:rFonts w:ascii="HadasaMFOMedium" w:hAnsi="Times New Roman" w:cs="David" w:hint="cs"/>
          <w:color w:val="auto"/>
          <w:spacing w:val="0"/>
          <w:sz w:val="26"/>
          <w:szCs w:val="26"/>
          <w:rtl/>
          <w:lang w:eastAsia="en-US"/>
        </w:rPr>
        <w:t>א</w:t>
      </w:r>
      <w:r w:rsidRPr="00F4272F">
        <w:rPr>
          <w:rFonts w:ascii="HadasaMFOMedium" w:hAnsi="Times New Roman" w:cs="David"/>
          <w:color w:val="auto"/>
          <w:spacing w:val="0"/>
          <w:sz w:val="26"/>
          <w:szCs w:val="26"/>
          <w:rtl/>
          <w:lang w:eastAsia="en-US"/>
        </w:rPr>
        <w:t>סדרה</w:t>
      </w:r>
      <w:r w:rsidR="00224579">
        <w:rPr>
          <w:rFonts w:ascii="HadasaMFOMedium" w:hAnsi="Times New Roman" w:cs="David" w:hint="cs"/>
          <w:color w:val="auto"/>
          <w:spacing w:val="0"/>
          <w:sz w:val="26"/>
          <w:szCs w:val="26"/>
          <w:rtl/>
          <w:lang w:eastAsia="en-US"/>
        </w:rPr>
        <w:t xml:space="preserve"> החדשה). </w:t>
      </w:r>
    </w:p>
    <w:p w:rsidR="007F6D9F" w:rsidRPr="00F4272F" w:rsidRDefault="00F4272F" w:rsidP="00B553AE">
      <w:pPr>
        <w:widowControl/>
        <w:spacing w:before="0" w:line="360" w:lineRule="auto"/>
        <w:ind w:firstLine="0"/>
        <w:textAlignment w:val="auto"/>
        <w:rPr>
          <w:rFonts w:ascii="HadasaMFOMedium" w:hAnsi="Times New Roman" w:cs="David"/>
          <w:color w:val="auto"/>
          <w:spacing w:val="0"/>
          <w:sz w:val="26"/>
          <w:szCs w:val="26"/>
          <w:rtl/>
          <w:lang w:eastAsia="en-US"/>
        </w:rPr>
      </w:pPr>
      <w:r w:rsidRPr="00F4272F">
        <w:rPr>
          <w:rFonts w:ascii="HadasaMFOMedium" w:hAnsi="Times New Roman" w:cs="David" w:hint="cs"/>
          <w:color w:val="auto"/>
          <w:spacing w:val="0"/>
          <w:sz w:val="26"/>
          <w:szCs w:val="26"/>
          <w:rtl/>
          <w:lang w:eastAsia="en-US"/>
        </w:rPr>
        <w:t xml:space="preserve">בהתאם לקבוע בחוק, תקופת הזיכיון הנוכחית של בעלי הזיכיונות בערוץ 2, הינה עד יום 31 באוקטובר 2015 ואילו תקופת הזיכיון של בעל הזיכיון בערוץ השלישי (ערוץ 10) הינה עד יום 31 בדצמבר 2014. </w:t>
      </w:r>
      <w:r w:rsidR="007F6D9F" w:rsidRPr="002F6DE4">
        <w:rPr>
          <w:rFonts w:ascii="HadasaMFOMedium" w:hAnsi="Times New Roman" w:cs="David" w:hint="cs"/>
          <w:color w:val="auto"/>
          <w:spacing w:val="0"/>
          <w:sz w:val="26"/>
          <w:szCs w:val="26"/>
          <w:rtl/>
          <w:lang w:eastAsia="en-US"/>
        </w:rPr>
        <w:t xml:space="preserve">ההסדר המשלים לעניין זה </w:t>
      </w:r>
      <w:r w:rsidR="00B553AE" w:rsidRPr="002F6DE4">
        <w:rPr>
          <w:rFonts w:ascii="HadasaMFOMedium" w:hAnsi="Times New Roman" w:cs="David" w:hint="cs"/>
          <w:color w:val="auto"/>
          <w:spacing w:val="0"/>
          <w:sz w:val="26"/>
          <w:szCs w:val="26"/>
          <w:rtl/>
          <w:lang w:eastAsia="en-US"/>
        </w:rPr>
        <w:t>קבוע</w:t>
      </w:r>
      <w:r w:rsidR="007F6D9F" w:rsidRPr="002F6DE4">
        <w:rPr>
          <w:rFonts w:ascii="HadasaMFOMedium" w:hAnsi="Times New Roman" w:cs="David" w:hint="cs"/>
          <w:color w:val="auto"/>
          <w:spacing w:val="0"/>
          <w:sz w:val="26"/>
          <w:szCs w:val="26"/>
          <w:rtl/>
          <w:lang w:eastAsia="en-US"/>
        </w:rPr>
        <w:t xml:space="preserve"> בסעיף 6כא1 לחוק התקשורת הנוגע להקצאת האפיקים לגופים המשדרים השונים.</w:t>
      </w:r>
    </w:p>
    <w:p w:rsidR="00F4272F" w:rsidRPr="00F4272F" w:rsidRDefault="006C01E8" w:rsidP="00DD0FED">
      <w:pPr>
        <w:widowControl/>
        <w:spacing w:before="0" w:line="360" w:lineRule="auto"/>
        <w:ind w:firstLine="0"/>
        <w:textAlignment w:val="auto"/>
        <w:rPr>
          <w:rFonts w:cs="David"/>
          <w:sz w:val="26"/>
          <w:szCs w:val="26"/>
          <w:rtl/>
        </w:rPr>
      </w:pPr>
      <w:r>
        <w:rPr>
          <w:rFonts w:ascii="HadasaMFOMedium" w:hAnsi="Times New Roman" w:cs="David" w:hint="cs"/>
          <w:color w:val="auto"/>
          <w:spacing w:val="0"/>
          <w:sz w:val="26"/>
          <w:szCs w:val="26"/>
          <w:rtl/>
          <w:lang w:eastAsia="en-US"/>
        </w:rPr>
        <w:t>ב</w:t>
      </w:r>
      <w:r w:rsidRPr="006C01E8">
        <w:rPr>
          <w:rFonts w:ascii="HadasaMFOMedium" w:hAnsi="Times New Roman" w:cs="David"/>
          <w:color w:val="auto"/>
          <w:spacing w:val="0"/>
          <w:sz w:val="26"/>
          <w:szCs w:val="26"/>
          <w:rtl/>
          <w:lang w:eastAsia="en-US"/>
        </w:rPr>
        <w:t xml:space="preserve">חוק הרשות השנייה לטלוויזיה ורדיו </w:t>
      </w:r>
      <w:r>
        <w:rPr>
          <w:rFonts w:ascii="HadasaMFOMedium" w:hAnsi="Times New Roman" w:cs="David" w:hint="cs"/>
          <w:color w:val="auto"/>
          <w:spacing w:val="0"/>
          <w:sz w:val="26"/>
          <w:szCs w:val="26"/>
          <w:rtl/>
          <w:lang w:eastAsia="en-US"/>
        </w:rPr>
        <w:t>(</w:t>
      </w:r>
      <w:r w:rsidRPr="006C01E8">
        <w:rPr>
          <w:rFonts w:ascii="HadasaMFOMedium" w:hAnsi="Times New Roman" w:cs="David"/>
          <w:color w:val="auto"/>
          <w:spacing w:val="0"/>
          <w:sz w:val="26"/>
          <w:szCs w:val="26"/>
          <w:rtl/>
          <w:lang w:eastAsia="en-US"/>
        </w:rPr>
        <w:t>תיקון מס' 37</w:t>
      </w:r>
      <w:r>
        <w:rPr>
          <w:rFonts w:ascii="HadasaMFOMedium" w:hAnsi="Times New Roman" w:cs="David" w:hint="cs"/>
          <w:color w:val="auto"/>
          <w:spacing w:val="0"/>
          <w:sz w:val="26"/>
          <w:szCs w:val="26"/>
          <w:rtl/>
          <w:lang w:eastAsia="en-US"/>
        </w:rPr>
        <w:t>)</w:t>
      </w:r>
      <w:r>
        <w:rPr>
          <w:rFonts w:ascii="HadasaMFOMedium" w:hAnsi="Times New Roman" w:cs="David"/>
          <w:color w:val="auto"/>
          <w:spacing w:val="0"/>
          <w:sz w:val="26"/>
          <w:szCs w:val="26"/>
          <w:rtl/>
          <w:lang w:eastAsia="en-US"/>
        </w:rPr>
        <w:t xml:space="preserve">, </w:t>
      </w:r>
      <w:proofErr w:type="spellStart"/>
      <w:r>
        <w:rPr>
          <w:rFonts w:ascii="HadasaMFOMedium" w:hAnsi="Times New Roman" w:cs="David"/>
          <w:color w:val="auto"/>
          <w:spacing w:val="0"/>
          <w:sz w:val="26"/>
          <w:szCs w:val="26"/>
          <w:rtl/>
          <w:lang w:eastAsia="en-US"/>
        </w:rPr>
        <w:t>התשע"ג</w:t>
      </w:r>
      <w:proofErr w:type="spellEnd"/>
      <w:r>
        <w:rPr>
          <w:rFonts w:ascii="HadasaMFOMedium" w:hAnsi="Times New Roman" w:cs="David"/>
          <w:color w:val="auto"/>
          <w:spacing w:val="0"/>
          <w:sz w:val="26"/>
          <w:szCs w:val="26"/>
          <w:rtl/>
          <w:lang w:eastAsia="en-US"/>
        </w:rPr>
        <w:t>— 2012</w:t>
      </w:r>
      <w:r w:rsidR="00F4272F" w:rsidRPr="00F4272F">
        <w:rPr>
          <w:rFonts w:ascii="HadasaMFOMedium" w:hAnsi="Times New Roman" w:cs="David" w:hint="cs"/>
          <w:color w:val="auto"/>
          <w:spacing w:val="0"/>
          <w:sz w:val="26"/>
          <w:szCs w:val="26"/>
          <w:rtl/>
          <w:lang w:eastAsia="en-US"/>
        </w:rPr>
        <w:t xml:space="preserve">, הוסף סעיף 34(ב3) הקובע כי בעלי זיכיונות לשידורי טלוויזיה בערוץ 2, רשאים להמשיך ולפעול במסגרת הזיכיון, בכפוף להסכמה הדדית, לתקופה נוספת של שנתיים, היינו עד יום 31 באוקטובר 2017, וככל שיעשו כן, מועד בקשתם לקבלת רישיון יהיה שנה לפני תום זיכיונם לאחר הארכה זו. </w:t>
      </w:r>
    </w:p>
    <w:p w:rsidR="00F4272F" w:rsidRPr="00F4272F" w:rsidRDefault="00F4272F" w:rsidP="00A42B42">
      <w:pPr>
        <w:widowControl/>
        <w:tabs>
          <w:tab w:val="left" w:pos="6728"/>
        </w:tabs>
        <w:spacing w:before="0" w:line="360" w:lineRule="auto"/>
        <w:ind w:firstLine="0"/>
        <w:textAlignment w:val="auto"/>
        <w:rPr>
          <w:rFonts w:cs="David"/>
          <w:sz w:val="26"/>
          <w:szCs w:val="26"/>
          <w:rtl/>
        </w:rPr>
      </w:pPr>
      <w:r w:rsidRPr="00F4272F">
        <w:rPr>
          <w:rFonts w:cs="David" w:hint="cs"/>
          <w:sz w:val="26"/>
          <w:szCs w:val="26"/>
          <w:rtl/>
        </w:rPr>
        <w:t>על מ</w:t>
      </w:r>
      <w:r w:rsidR="00DD0FED">
        <w:rPr>
          <w:rFonts w:cs="David" w:hint="cs"/>
          <w:sz w:val="26"/>
          <w:szCs w:val="26"/>
          <w:rtl/>
        </w:rPr>
        <w:t>נ</w:t>
      </w:r>
      <w:r w:rsidRPr="00F4272F">
        <w:rPr>
          <w:rFonts w:cs="David" w:hint="cs"/>
          <w:sz w:val="26"/>
          <w:szCs w:val="26"/>
          <w:rtl/>
        </w:rPr>
        <w:t>ת לשמור על תחרות ו</w:t>
      </w:r>
      <w:r w:rsidR="00857F6B">
        <w:rPr>
          <w:rFonts w:cs="David" w:hint="cs"/>
          <w:sz w:val="26"/>
          <w:szCs w:val="26"/>
          <w:rtl/>
        </w:rPr>
        <w:t>מגוון</w:t>
      </w:r>
      <w:r w:rsidRPr="00F4272F">
        <w:rPr>
          <w:rFonts w:cs="David" w:hint="cs"/>
          <w:sz w:val="26"/>
          <w:szCs w:val="26"/>
          <w:rtl/>
        </w:rPr>
        <w:t xml:space="preserve"> בתחום שידורי הטלוויזיה המסחריים ובתחום שידורי החדשות המסחריים, מוצע לקצר את תקופת הזיכיון של בעלי הזיכיונות בערוץ 2 ב</w:t>
      </w:r>
      <w:r w:rsidR="00A42B42">
        <w:rPr>
          <w:rFonts w:cs="David" w:hint="cs"/>
          <w:sz w:val="26"/>
          <w:szCs w:val="26"/>
          <w:rtl/>
        </w:rPr>
        <w:t>שבעה</w:t>
      </w:r>
      <w:r w:rsidRPr="00F4272F">
        <w:rPr>
          <w:rFonts w:cs="David" w:hint="cs"/>
          <w:sz w:val="26"/>
          <w:szCs w:val="26"/>
          <w:rtl/>
        </w:rPr>
        <w:t xml:space="preserve"> חודשים ולבטל את האפשרות להארכת זיכיונותיהם בשנתיים נוספות. </w:t>
      </w:r>
    </w:p>
    <w:p w:rsidR="00F4272F" w:rsidRPr="00F4272F" w:rsidRDefault="00F4272F" w:rsidP="00454DE1">
      <w:pPr>
        <w:widowControl/>
        <w:tabs>
          <w:tab w:val="left" w:pos="6728"/>
        </w:tabs>
        <w:spacing w:before="0" w:line="360" w:lineRule="auto"/>
        <w:ind w:firstLine="0"/>
        <w:textAlignment w:val="auto"/>
        <w:rPr>
          <w:rFonts w:cs="David"/>
          <w:sz w:val="26"/>
          <w:szCs w:val="26"/>
          <w:rtl/>
        </w:rPr>
      </w:pPr>
      <w:r w:rsidRPr="00F4272F">
        <w:rPr>
          <w:rFonts w:cs="David" w:hint="cs"/>
          <w:sz w:val="26"/>
          <w:szCs w:val="26"/>
          <w:rtl/>
        </w:rPr>
        <w:t>כמו כן, מוצע כי החל מיום 1 ב</w:t>
      </w:r>
      <w:r w:rsidR="00454DE1">
        <w:rPr>
          <w:rFonts w:cs="David" w:hint="cs"/>
          <w:sz w:val="26"/>
          <w:szCs w:val="26"/>
          <w:rtl/>
        </w:rPr>
        <w:t>אפריל</w:t>
      </w:r>
      <w:r w:rsidRPr="00F4272F">
        <w:rPr>
          <w:rFonts w:cs="David" w:hint="cs"/>
          <w:sz w:val="26"/>
          <w:szCs w:val="26"/>
          <w:rtl/>
        </w:rPr>
        <w:t xml:space="preserve"> 2015 בעלי הזיכיונות בערוץ 2 ישדרו לפי רישיון לשידורים, באפיקים נפרדים ובמשך כל ימות השבוע, תוך עמידה בכל המחויבויות המוטלות על בעלי רישיונות בחוק ובהן החובה לקיים שידורי חדשות באמצעות חברת חדשות נפרדת לכל אחד מהם. בנוסף, מוצע לאפשר התמחרות בין בעלי הזיכיונות בערוץ 2 על רכישת חברת החדשות המשותפת בידי אחד מבעלי הזיכיונות.</w:t>
      </w:r>
    </w:p>
    <w:p w:rsidR="00F4272F" w:rsidRPr="00F4272F" w:rsidRDefault="00F4272F" w:rsidP="00F4272F">
      <w:pPr>
        <w:widowControl/>
        <w:tabs>
          <w:tab w:val="left" w:pos="6728"/>
        </w:tabs>
        <w:spacing w:before="0" w:line="360" w:lineRule="auto"/>
        <w:ind w:firstLine="0"/>
        <w:textAlignment w:val="auto"/>
        <w:rPr>
          <w:rFonts w:cs="David"/>
          <w:sz w:val="26"/>
          <w:szCs w:val="26"/>
          <w:rtl/>
        </w:rPr>
      </w:pPr>
    </w:p>
    <w:p w:rsidR="00F4272F" w:rsidRDefault="00F4272F" w:rsidP="00A42B42">
      <w:pPr>
        <w:widowControl/>
        <w:tabs>
          <w:tab w:val="left" w:pos="6728"/>
        </w:tabs>
        <w:spacing w:before="0" w:line="360" w:lineRule="auto"/>
        <w:ind w:firstLine="0"/>
        <w:textAlignment w:val="auto"/>
        <w:rPr>
          <w:rFonts w:cs="David"/>
          <w:sz w:val="26"/>
          <w:szCs w:val="26"/>
          <w:rtl/>
        </w:rPr>
      </w:pPr>
      <w:r w:rsidRPr="00F4272F">
        <w:rPr>
          <w:rFonts w:cs="David" w:hint="cs"/>
          <w:sz w:val="26"/>
          <w:szCs w:val="26"/>
          <w:rtl/>
        </w:rPr>
        <w:t>בהתאם לאמור, בשל קיצור תקופת הזיכיון הנוכחית של בעלי הזיכיונו</w:t>
      </w:r>
      <w:r w:rsidRPr="00F4272F">
        <w:rPr>
          <w:rFonts w:cs="David"/>
          <w:sz w:val="26"/>
          <w:szCs w:val="26"/>
          <w:rtl/>
        </w:rPr>
        <w:t>ת</w:t>
      </w:r>
      <w:r w:rsidRPr="00F4272F">
        <w:rPr>
          <w:rFonts w:cs="David" w:hint="cs"/>
          <w:sz w:val="26"/>
          <w:szCs w:val="26"/>
          <w:rtl/>
        </w:rPr>
        <w:t xml:space="preserve"> בערוץ 2 ב</w:t>
      </w:r>
      <w:r w:rsidR="00A42B42">
        <w:rPr>
          <w:rFonts w:cs="David" w:hint="cs"/>
          <w:sz w:val="26"/>
          <w:szCs w:val="26"/>
          <w:rtl/>
        </w:rPr>
        <w:t>שבעה</w:t>
      </w:r>
      <w:r w:rsidRPr="00F4272F">
        <w:rPr>
          <w:rFonts w:cs="David" w:hint="cs"/>
          <w:sz w:val="26"/>
          <w:szCs w:val="26"/>
          <w:rtl/>
        </w:rPr>
        <w:t xml:space="preserve"> חודשים, מוצע להחזיר לכל אחד מהם חלק יחסי מסכום דמי הזיכיון החד-פעמיים ששילמו עם קבלת הזיכיון. </w:t>
      </w:r>
    </w:p>
    <w:p w:rsidR="00384A19" w:rsidRDefault="00384A19" w:rsidP="00384A19">
      <w:pPr>
        <w:widowControl/>
        <w:tabs>
          <w:tab w:val="left" w:pos="6728"/>
        </w:tabs>
        <w:spacing w:before="0" w:line="360" w:lineRule="auto"/>
        <w:ind w:firstLine="0"/>
        <w:textAlignment w:val="auto"/>
        <w:rPr>
          <w:rFonts w:cs="David"/>
          <w:sz w:val="24"/>
          <w:szCs w:val="24"/>
          <w:highlight w:val="yellow"/>
          <w:rtl/>
        </w:rPr>
      </w:pPr>
    </w:p>
    <w:p w:rsidR="001D7F59" w:rsidRPr="00260BFA" w:rsidRDefault="001D7F59" w:rsidP="001D7F59">
      <w:pPr>
        <w:widowControl/>
        <w:numPr>
          <w:ilvl w:val="0"/>
          <w:numId w:val="14"/>
        </w:numPr>
        <w:tabs>
          <w:tab w:val="num" w:pos="33"/>
        </w:tabs>
        <w:autoSpaceDE/>
        <w:adjustRightInd/>
        <w:spacing w:after="240" w:line="360" w:lineRule="auto"/>
        <w:ind w:left="33"/>
        <w:textAlignment w:val="auto"/>
        <w:rPr>
          <w:rFonts w:ascii="Times New Roman" w:eastAsia="Times New Roman" w:hAnsi="Times New Roman" w:cs="David"/>
          <w:b/>
          <w:bCs/>
          <w:color w:val="auto"/>
          <w:spacing w:val="0"/>
          <w:sz w:val="26"/>
          <w:szCs w:val="26"/>
          <w:u w:val="single"/>
          <w:rtl/>
          <w:lang w:eastAsia="he-IL"/>
        </w:rPr>
      </w:pPr>
      <w:r w:rsidRPr="00260BFA">
        <w:rPr>
          <w:rFonts w:ascii="Times New Roman" w:eastAsia="Times New Roman" w:hAnsi="Times New Roman" w:cs="David" w:hint="cs"/>
          <w:b/>
          <w:bCs/>
          <w:color w:val="auto"/>
          <w:spacing w:val="0"/>
          <w:sz w:val="26"/>
          <w:szCs w:val="26"/>
          <w:u w:val="single"/>
          <w:rtl/>
          <w:lang w:eastAsia="he-IL"/>
        </w:rPr>
        <w:t>השפעת החוק המוצע על החוק הקיים</w:t>
      </w:r>
    </w:p>
    <w:p w:rsidR="001D7F59" w:rsidRPr="00260BFA" w:rsidRDefault="001D7F59" w:rsidP="001D7F59">
      <w:pPr>
        <w:widowControl/>
        <w:autoSpaceDE/>
        <w:adjustRightInd/>
        <w:spacing w:after="240" w:line="360" w:lineRule="auto"/>
        <w:ind w:firstLine="0"/>
        <w:rPr>
          <w:rFonts w:ascii="Times New Roman" w:eastAsia="Times New Roman" w:hAnsi="Times New Roman" w:cs="David"/>
          <w:color w:val="auto"/>
          <w:spacing w:val="0"/>
          <w:sz w:val="26"/>
          <w:szCs w:val="26"/>
          <w:lang w:eastAsia="he-IL"/>
        </w:rPr>
      </w:pPr>
      <w:r w:rsidRPr="00260BFA">
        <w:rPr>
          <w:rFonts w:ascii="Times New Roman" w:eastAsia="Times New Roman" w:hAnsi="Times New Roman" w:cs="David" w:hint="cs"/>
          <w:color w:val="auto"/>
          <w:spacing w:val="0"/>
          <w:sz w:val="26"/>
          <w:szCs w:val="26"/>
          <w:rtl/>
          <w:lang w:eastAsia="he-IL"/>
        </w:rPr>
        <w:t>הוראות חוק זה יחולו על אף האמור בכל דין.</w:t>
      </w:r>
    </w:p>
    <w:p w:rsidR="001D7F59" w:rsidRPr="00260BFA" w:rsidRDefault="001D7F59" w:rsidP="001D7F59">
      <w:pPr>
        <w:widowControl/>
        <w:numPr>
          <w:ilvl w:val="0"/>
          <w:numId w:val="14"/>
        </w:numPr>
        <w:tabs>
          <w:tab w:val="num" w:pos="33"/>
        </w:tabs>
        <w:autoSpaceDE/>
        <w:adjustRightInd/>
        <w:spacing w:after="240" w:line="360" w:lineRule="auto"/>
        <w:ind w:left="33"/>
        <w:jc w:val="left"/>
        <w:textAlignment w:val="auto"/>
        <w:rPr>
          <w:rFonts w:ascii="Times New Roman" w:eastAsia="Times New Roman" w:hAnsi="Times New Roman" w:cs="David"/>
          <w:b/>
          <w:bCs/>
          <w:color w:val="auto"/>
          <w:spacing w:val="0"/>
          <w:sz w:val="26"/>
          <w:szCs w:val="26"/>
          <w:u w:val="single"/>
          <w:rtl/>
          <w:lang w:eastAsia="he-IL"/>
        </w:rPr>
      </w:pPr>
      <w:r w:rsidRPr="00260BFA">
        <w:rPr>
          <w:rFonts w:ascii="Times New Roman" w:eastAsia="Times New Roman" w:hAnsi="Times New Roman" w:cs="David" w:hint="cs"/>
          <w:b/>
          <w:bCs/>
          <w:color w:val="auto"/>
          <w:spacing w:val="0"/>
          <w:sz w:val="26"/>
          <w:szCs w:val="26"/>
          <w:u w:val="single"/>
          <w:rtl/>
          <w:lang w:eastAsia="he-IL"/>
        </w:rPr>
        <w:t>השפעת החוק המוצע על תקציב המדינה</w:t>
      </w:r>
    </w:p>
    <w:p w:rsidR="001D7F59" w:rsidRPr="00260BFA" w:rsidRDefault="001D7F59" w:rsidP="001D7F59">
      <w:pPr>
        <w:widowControl/>
        <w:autoSpaceDE/>
        <w:adjustRightInd/>
        <w:spacing w:after="240" w:line="360" w:lineRule="auto"/>
        <w:ind w:left="33" w:firstLine="0"/>
        <w:jc w:val="left"/>
        <w:rPr>
          <w:rFonts w:ascii="Times New Roman" w:eastAsia="Times New Roman" w:hAnsi="Times New Roman" w:cs="David"/>
          <w:color w:val="auto"/>
          <w:spacing w:val="0"/>
          <w:sz w:val="26"/>
          <w:szCs w:val="26"/>
          <w:lang w:eastAsia="he-IL"/>
        </w:rPr>
      </w:pPr>
      <w:r w:rsidRPr="00260BFA">
        <w:rPr>
          <w:rFonts w:ascii="Times New Roman" w:eastAsia="Times New Roman" w:hAnsi="Times New Roman" w:cs="David" w:hint="cs"/>
          <w:color w:val="auto"/>
          <w:spacing w:val="0"/>
          <w:sz w:val="26"/>
          <w:szCs w:val="26"/>
          <w:rtl/>
          <w:lang w:eastAsia="he-IL"/>
        </w:rPr>
        <w:t>לא צפויה השפעה של החוק המוצע על תקציב המדינה.</w:t>
      </w:r>
    </w:p>
    <w:p w:rsidR="001D7F59" w:rsidRPr="00260BFA" w:rsidRDefault="001D7F59" w:rsidP="001D7F59">
      <w:pPr>
        <w:widowControl/>
        <w:numPr>
          <w:ilvl w:val="0"/>
          <w:numId w:val="14"/>
        </w:numPr>
        <w:tabs>
          <w:tab w:val="num" w:pos="33"/>
        </w:tabs>
        <w:autoSpaceDE/>
        <w:adjustRightInd/>
        <w:spacing w:after="240" w:line="360" w:lineRule="auto"/>
        <w:ind w:left="33"/>
        <w:jc w:val="left"/>
        <w:textAlignment w:val="auto"/>
        <w:rPr>
          <w:rFonts w:ascii="Times New Roman" w:eastAsia="Times New Roman" w:hAnsi="Times New Roman" w:cs="David"/>
          <w:b/>
          <w:bCs/>
          <w:color w:val="auto"/>
          <w:spacing w:val="0"/>
          <w:sz w:val="26"/>
          <w:szCs w:val="26"/>
          <w:u w:val="single"/>
          <w:lang w:eastAsia="he-IL"/>
        </w:rPr>
      </w:pPr>
      <w:r w:rsidRPr="00260BFA">
        <w:rPr>
          <w:rFonts w:ascii="Times New Roman" w:eastAsia="Times New Roman" w:hAnsi="Times New Roman" w:cs="David" w:hint="cs"/>
          <w:b/>
          <w:bCs/>
          <w:color w:val="auto"/>
          <w:spacing w:val="0"/>
          <w:sz w:val="26"/>
          <w:szCs w:val="26"/>
          <w:u w:val="single"/>
          <w:rtl/>
          <w:lang w:eastAsia="he-IL"/>
        </w:rPr>
        <w:t>השפעת החוק המוצע על ההיבט המנהלי של המשרד</w:t>
      </w:r>
    </w:p>
    <w:p w:rsidR="001D7F59" w:rsidRPr="00260BFA" w:rsidRDefault="001D7F59" w:rsidP="001D7F59">
      <w:pPr>
        <w:widowControl/>
        <w:autoSpaceDE/>
        <w:adjustRightInd/>
        <w:spacing w:after="240" w:line="360" w:lineRule="auto"/>
        <w:ind w:left="33" w:firstLine="0"/>
        <w:jc w:val="left"/>
        <w:rPr>
          <w:rFonts w:ascii="Times New Roman" w:eastAsia="Times New Roman" w:hAnsi="Times New Roman" w:cs="David"/>
          <w:color w:val="auto"/>
          <w:spacing w:val="0"/>
          <w:sz w:val="26"/>
          <w:szCs w:val="26"/>
          <w:lang w:eastAsia="he-IL"/>
        </w:rPr>
      </w:pPr>
      <w:r w:rsidRPr="00260BFA">
        <w:rPr>
          <w:rFonts w:ascii="Times New Roman" w:eastAsia="Times New Roman" w:hAnsi="Times New Roman" w:cs="David" w:hint="cs"/>
          <w:color w:val="auto"/>
          <w:spacing w:val="0"/>
          <w:sz w:val="26"/>
          <w:szCs w:val="26"/>
          <w:rtl/>
          <w:lang w:eastAsia="he-IL"/>
        </w:rPr>
        <w:lastRenderedPageBreak/>
        <w:t>לא צפויה השפעה של החוק המוצע על ההיבט המנהלי של המשרד.</w:t>
      </w:r>
    </w:p>
    <w:p w:rsidR="001D7F59" w:rsidRPr="00260BFA" w:rsidRDefault="001D7F59" w:rsidP="001D7F59">
      <w:pPr>
        <w:widowControl/>
        <w:numPr>
          <w:ilvl w:val="0"/>
          <w:numId w:val="14"/>
        </w:numPr>
        <w:tabs>
          <w:tab w:val="num" w:pos="33"/>
        </w:tabs>
        <w:autoSpaceDE/>
        <w:adjustRightInd/>
        <w:spacing w:after="240" w:line="360" w:lineRule="auto"/>
        <w:ind w:left="33"/>
        <w:jc w:val="left"/>
        <w:textAlignment w:val="auto"/>
        <w:rPr>
          <w:rFonts w:ascii="Times New Roman" w:eastAsia="Times New Roman" w:hAnsi="Times New Roman" w:cs="David"/>
          <w:b/>
          <w:bCs/>
          <w:color w:val="auto"/>
          <w:spacing w:val="0"/>
          <w:sz w:val="26"/>
          <w:szCs w:val="26"/>
          <w:u w:val="single"/>
          <w:rtl/>
          <w:lang w:eastAsia="he-IL"/>
        </w:rPr>
      </w:pPr>
      <w:r w:rsidRPr="00260BFA">
        <w:rPr>
          <w:rFonts w:ascii="Times New Roman" w:eastAsia="Times New Roman" w:hAnsi="Times New Roman" w:cs="David" w:hint="cs"/>
          <w:b/>
          <w:bCs/>
          <w:color w:val="auto"/>
          <w:spacing w:val="0"/>
          <w:sz w:val="26"/>
          <w:szCs w:val="26"/>
          <w:u w:val="single"/>
          <w:rtl/>
          <w:lang w:eastAsia="he-IL"/>
        </w:rPr>
        <w:t>להלן נוסח החוק המוצע ודברי ההסבר:</w:t>
      </w:r>
    </w:p>
    <w:p w:rsidR="001A7D83" w:rsidRDefault="00B9679E">
      <w:pPr>
        <w:pStyle w:val="HeadMitparsemetBaze"/>
        <w:keepNext w:val="0"/>
        <w:keepLines w:val="0"/>
        <w:pageBreakBefore w:val="0"/>
        <w:rPr>
          <w:rtl/>
        </w:rPr>
      </w:pPr>
      <w:r>
        <w:rPr>
          <w:rFonts w:hint="cs"/>
          <w:rtl/>
        </w:rPr>
        <w:t>ה</w:t>
      </w:r>
      <w:r w:rsidR="001A7D83">
        <w:rPr>
          <w:rtl/>
        </w:rPr>
        <w:t xml:space="preserve">צעת חוק </w:t>
      </w:r>
      <w:r w:rsidR="001A7D83">
        <w:rPr>
          <w:rFonts w:hint="cs"/>
          <w:rtl/>
        </w:rPr>
        <w:t xml:space="preserve">מטעם הממשלה: </w:t>
      </w:r>
    </w:p>
    <w:p w:rsidR="001A7D83" w:rsidRDefault="001A7D83" w:rsidP="00C91D2C">
      <w:pPr>
        <w:pStyle w:val="HeadHatzaotHok"/>
        <w:keepNext w:val="0"/>
        <w:keepLines w:val="0"/>
        <w:rPr>
          <w:rtl/>
        </w:rPr>
      </w:pPr>
      <w:r>
        <w:rPr>
          <w:rtl/>
        </w:rPr>
        <w:t>הצעת חו</w:t>
      </w:r>
      <w:r>
        <w:rPr>
          <w:rFonts w:hint="cs"/>
          <w:rtl/>
        </w:rPr>
        <w:t xml:space="preserve">ק </w:t>
      </w:r>
      <w:r w:rsidR="00630B04">
        <w:rPr>
          <w:rFonts w:hint="cs"/>
          <w:rtl/>
        </w:rPr>
        <w:t>הרשות השנייה לטלוויזיה ורדיו</w:t>
      </w:r>
      <w:r w:rsidR="00FA557E">
        <w:rPr>
          <w:rFonts w:hint="cs"/>
          <w:rtl/>
        </w:rPr>
        <w:t xml:space="preserve"> (תיקון מס'...), התש</w:t>
      </w:r>
      <w:r w:rsidR="00C91D2C">
        <w:rPr>
          <w:rFonts w:hint="cs"/>
          <w:rtl/>
        </w:rPr>
        <w:t>ע"ד</w:t>
      </w:r>
      <w:r w:rsidR="00FA557E">
        <w:rPr>
          <w:rFonts w:hint="cs"/>
          <w:rtl/>
        </w:rPr>
        <w:t>-</w:t>
      </w:r>
      <w:r w:rsidR="00C91D2C">
        <w:rPr>
          <w:rFonts w:hint="cs"/>
          <w:rtl/>
        </w:rPr>
        <w:t>2014</w:t>
      </w:r>
    </w:p>
    <w:tbl>
      <w:tblPr>
        <w:bidiVisual/>
        <w:tblW w:w="9782"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907"/>
        <w:gridCol w:w="567"/>
        <w:gridCol w:w="283"/>
        <w:gridCol w:w="425"/>
        <w:gridCol w:w="709"/>
        <w:gridCol w:w="4396"/>
      </w:tblGrid>
      <w:tr w:rsidR="001A7D83" w:rsidRPr="00C34DE2" w:rsidTr="00A2164C">
        <w:trPr>
          <w:cantSplit/>
          <w:trHeight w:val="60"/>
        </w:trPr>
        <w:tc>
          <w:tcPr>
            <w:tcW w:w="1871" w:type="dxa"/>
          </w:tcPr>
          <w:p w:rsidR="001A7D83" w:rsidRDefault="001A7D83" w:rsidP="00A2164C">
            <w:pPr>
              <w:pStyle w:val="TableSideHeading"/>
              <w:keepLines w:val="0"/>
            </w:pPr>
            <w:r>
              <w:rPr>
                <w:rFonts w:hint="cs"/>
                <w:rtl/>
              </w:rPr>
              <w:t>תיקון סעיף 34</w:t>
            </w:r>
          </w:p>
        </w:tc>
        <w:tc>
          <w:tcPr>
            <w:tcW w:w="624" w:type="dxa"/>
          </w:tcPr>
          <w:p w:rsidR="001A7D83" w:rsidRDefault="001A7D83" w:rsidP="001A7D83">
            <w:pPr>
              <w:pStyle w:val="TableText"/>
              <w:keepLines w:val="0"/>
              <w:numPr>
                <w:ilvl w:val="0"/>
                <w:numId w:val="2"/>
              </w:numPr>
            </w:pPr>
          </w:p>
        </w:tc>
        <w:tc>
          <w:tcPr>
            <w:tcW w:w="7287" w:type="dxa"/>
            <w:gridSpan w:val="6"/>
          </w:tcPr>
          <w:p w:rsidR="001A7D83" w:rsidRPr="001A7D83" w:rsidRDefault="001A7D83" w:rsidP="00953D02">
            <w:pPr>
              <w:pStyle w:val="TableBlock"/>
            </w:pPr>
            <w:r w:rsidRPr="008A23D2">
              <w:rPr>
                <w:rFonts w:hint="cs"/>
                <w:sz w:val="26"/>
                <w:rtl/>
              </w:rPr>
              <w:t>בחוק הרשות השני</w:t>
            </w:r>
            <w:r>
              <w:rPr>
                <w:rFonts w:hint="cs"/>
                <w:sz w:val="26"/>
                <w:rtl/>
              </w:rPr>
              <w:t>י</w:t>
            </w:r>
            <w:r w:rsidRPr="008A23D2">
              <w:rPr>
                <w:rFonts w:hint="cs"/>
                <w:sz w:val="26"/>
                <w:rtl/>
              </w:rPr>
              <w:t>ה לטלוויזי</w:t>
            </w:r>
            <w:r w:rsidRPr="008A23D2">
              <w:rPr>
                <w:rFonts w:hint="eastAsia"/>
                <w:sz w:val="26"/>
                <w:rtl/>
              </w:rPr>
              <w:t>ה</w:t>
            </w:r>
            <w:r w:rsidRPr="008A23D2">
              <w:rPr>
                <w:rFonts w:hint="cs"/>
                <w:sz w:val="26"/>
                <w:rtl/>
              </w:rPr>
              <w:t xml:space="preserve"> ורדיו, התש"ן-1990</w:t>
            </w:r>
            <w:r>
              <w:rPr>
                <w:rFonts w:hint="cs"/>
                <w:sz w:val="26"/>
                <w:rtl/>
              </w:rPr>
              <w:t xml:space="preserve"> (להלן </w:t>
            </w:r>
            <w:r>
              <w:rPr>
                <w:sz w:val="26"/>
                <w:rtl/>
              </w:rPr>
              <w:t>–</w:t>
            </w:r>
            <w:r>
              <w:rPr>
                <w:rFonts w:hint="cs"/>
                <w:sz w:val="26"/>
                <w:rtl/>
              </w:rPr>
              <w:t xml:space="preserve"> החוק העיקרי)</w:t>
            </w:r>
            <w:r w:rsidR="00C91D2C">
              <w:rPr>
                <w:rStyle w:val="a5"/>
                <w:sz w:val="26"/>
                <w:rtl/>
              </w:rPr>
              <w:footnoteReference w:id="2"/>
            </w:r>
            <w:r w:rsidR="00C91D2C">
              <w:rPr>
                <w:rFonts w:hint="cs"/>
                <w:sz w:val="26"/>
                <w:rtl/>
              </w:rPr>
              <w:t>, בסעיף 34</w:t>
            </w:r>
            <w:r w:rsidR="00953D02">
              <w:rPr>
                <w:rFonts w:hint="cs"/>
                <w:rtl/>
              </w:rPr>
              <w:t xml:space="preserve">, במקום סעיף קטן (ב3) </w:t>
            </w:r>
            <w:r>
              <w:rPr>
                <w:rtl/>
              </w:rPr>
              <w:t>יבוא:</w:t>
            </w:r>
          </w:p>
        </w:tc>
      </w:tr>
      <w:tr w:rsidR="001A7D83" w:rsidRPr="00C04CFF" w:rsidTr="00A2164C">
        <w:trPr>
          <w:cantSplit/>
          <w:trHeight w:val="60"/>
        </w:trPr>
        <w:tc>
          <w:tcPr>
            <w:tcW w:w="1871" w:type="dxa"/>
          </w:tcPr>
          <w:p w:rsidR="001A7D83" w:rsidRDefault="001A7D83" w:rsidP="00A2164C">
            <w:pPr>
              <w:pStyle w:val="TableSideHeading"/>
            </w:pPr>
          </w:p>
        </w:tc>
        <w:tc>
          <w:tcPr>
            <w:tcW w:w="624" w:type="dxa"/>
          </w:tcPr>
          <w:p w:rsidR="001A7D83" w:rsidRDefault="001A7D83" w:rsidP="00A2164C">
            <w:pPr>
              <w:pStyle w:val="TableText"/>
            </w:pPr>
          </w:p>
        </w:tc>
        <w:tc>
          <w:tcPr>
            <w:tcW w:w="907" w:type="dxa"/>
          </w:tcPr>
          <w:p w:rsidR="001A7D83" w:rsidRPr="00364643" w:rsidRDefault="001A7D83" w:rsidP="00630B04">
            <w:pPr>
              <w:pStyle w:val="TableText"/>
              <w:tabs>
                <w:tab w:val="clear" w:pos="624"/>
                <w:tab w:val="clear" w:pos="1247"/>
              </w:tabs>
              <w:ind w:right="0"/>
              <w:jc w:val="both"/>
            </w:pPr>
            <w:r>
              <w:rPr>
                <w:rFonts w:hint="cs"/>
                <w:rtl/>
              </w:rPr>
              <w:t>"(ב3)</w:t>
            </w:r>
          </w:p>
        </w:tc>
        <w:tc>
          <w:tcPr>
            <w:tcW w:w="6380" w:type="dxa"/>
            <w:gridSpan w:val="5"/>
          </w:tcPr>
          <w:p w:rsidR="001A7D83" w:rsidRPr="00C04CFF" w:rsidRDefault="001A7D83" w:rsidP="00454DE1">
            <w:pPr>
              <w:pStyle w:val="TableBlock"/>
            </w:pPr>
            <w:r>
              <w:rPr>
                <w:rtl/>
              </w:rPr>
              <w:t>על אף ה</w:t>
            </w:r>
            <w:r>
              <w:rPr>
                <w:rFonts w:hint="cs"/>
                <w:rtl/>
              </w:rPr>
              <w:t xml:space="preserve">וראות </w:t>
            </w:r>
            <w:r>
              <w:rPr>
                <w:rtl/>
              </w:rPr>
              <w:t>סעיף קטן (ב1), תקופת תוקפו של זיכיון לשידורי טלוויזיה בערוץ 2 שניתן לאחר תחילתו של חוק הרשות השנ</w:t>
            </w:r>
            <w:r>
              <w:rPr>
                <w:rFonts w:hint="cs"/>
                <w:rtl/>
              </w:rPr>
              <w:t>י</w:t>
            </w:r>
            <w:r>
              <w:rPr>
                <w:rtl/>
              </w:rPr>
              <w:t>יה לטלוויזיה ורדיו (תיקון מס' 19), התשס"ג-2003</w:t>
            </w:r>
            <w:r w:rsidR="00DA1B2D">
              <w:rPr>
                <w:rStyle w:val="a5"/>
                <w:rtl/>
              </w:rPr>
              <w:footnoteReference w:id="3"/>
            </w:r>
            <w:r>
              <w:rPr>
                <w:rtl/>
              </w:rPr>
              <w:t xml:space="preserve">, תהיה עד יום </w:t>
            </w:r>
            <w:r w:rsidR="00454DE1">
              <w:rPr>
                <w:rFonts w:hint="cs"/>
                <w:rtl/>
              </w:rPr>
              <w:t>י"א</w:t>
            </w:r>
            <w:r>
              <w:rPr>
                <w:rtl/>
              </w:rPr>
              <w:t xml:space="preserve"> ב</w:t>
            </w:r>
            <w:r w:rsidR="00454DE1">
              <w:rPr>
                <w:rFonts w:hint="cs"/>
                <w:rtl/>
              </w:rPr>
              <w:t>ניסן</w:t>
            </w:r>
            <w:r>
              <w:rPr>
                <w:rtl/>
              </w:rPr>
              <w:t xml:space="preserve"> </w:t>
            </w:r>
            <w:proofErr w:type="spellStart"/>
            <w:r>
              <w:rPr>
                <w:rtl/>
              </w:rPr>
              <w:t>התשע"ה</w:t>
            </w:r>
            <w:proofErr w:type="spellEnd"/>
            <w:r>
              <w:rPr>
                <w:rtl/>
              </w:rPr>
              <w:t xml:space="preserve"> (31 </w:t>
            </w:r>
            <w:r w:rsidR="00454DE1">
              <w:rPr>
                <w:rFonts w:hint="cs"/>
                <w:rtl/>
              </w:rPr>
              <w:t>במרץ</w:t>
            </w:r>
            <w:r>
              <w:rPr>
                <w:rtl/>
              </w:rPr>
              <w:t xml:space="preserve"> </w:t>
            </w:r>
            <w:r w:rsidR="00454DE1">
              <w:rPr>
                <w:rFonts w:hint="cs"/>
                <w:rtl/>
              </w:rPr>
              <w:t>2015</w:t>
            </w:r>
            <w:r>
              <w:rPr>
                <w:rtl/>
              </w:rPr>
              <w:t>)."</w:t>
            </w:r>
            <w:r w:rsidR="00C91D2C">
              <w:rPr>
                <w:rFonts w:hint="cs"/>
                <w:rtl/>
              </w:rPr>
              <w:t>.</w:t>
            </w:r>
          </w:p>
        </w:tc>
      </w:tr>
      <w:tr w:rsidR="001A7D83" w:rsidTr="001A7D83">
        <w:trPr>
          <w:cantSplit/>
          <w:trHeight w:val="60"/>
        </w:trPr>
        <w:tc>
          <w:tcPr>
            <w:tcW w:w="1871" w:type="dxa"/>
          </w:tcPr>
          <w:p w:rsidR="001A7D83" w:rsidRPr="00652EC8" w:rsidRDefault="001A7D83" w:rsidP="00A2164C">
            <w:pPr>
              <w:pStyle w:val="TableSideHeading"/>
              <w:keepLines w:val="0"/>
            </w:pPr>
            <w:r w:rsidRPr="00652EC8">
              <w:rPr>
                <w:rFonts w:hint="cs"/>
                <w:rtl/>
              </w:rPr>
              <w:t>הוספת סעיף 70א</w:t>
            </w:r>
          </w:p>
        </w:tc>
        <w:tc>
          <w:tcPr>
            <w:tcW w:w="624" w:type="dxa"/>
          </w:tcPr>
          <w:p w:rsidR="001A7D83" w:rsidRPr="00652EC8" w:rsidRDefault="001A7D83" w:rsidP="001A7D83">
            <w:pPr>
              <w:pStyle w:val="TableText"/>
              <w:keepLines w:val="0"/>
              <w:numPr>
                <w:ilvl w:val="0"/>
                <w:numId w:val="2"/>
              </w:numPr>
            </w:pPr>
          </w:p>
        </w:tc>
        <w:tc>
          <w:tcPr>
            <w:tcW w:w="7287" w:type="dxa"/>
            <w:gridSpan w:val="6"/>
          </w:tcPr>
          <w:p w:rsidR="001A7D83" w:rsidRPr="00652EC8" w:rsidRDefault="001A7D83" w:rsidP="00A2164C">
            <w:pPr>
              <w:pStyle w:val="TableBlock"/>
              <w:keepLines w:val="0"/>
            </w:pPr>
            <w:r w:rsidRPr="00652EC8">
              <w:rPr>
                <w:rFonts w:hint="cs"/>
                <w:rtl/>
              </w:rPr>
              <w:t>אחרי סעיף 70 לחוק העיקרי יבוא:</w:t>
            </w:r>
          </w:p>
        </w:tc>
      </w:tr>
      <w:tr w:rsidR="001A7D83" w:rsidTr="00FA557E">
        <w:trPr>
          <w:cantSplit/>
          <w:trHeight w:val="60"/>
        </w:trPr>
        <w:tc>
          <w:tcPr>
            <w:tcW w:w="1871" w:type="dxa"/>
          </w:tcPr>
          <w:p w:rsidR="001A7D83" w:rsidRPr="00CD2EC7" w:rsidRDefault="001A7D83" w:rsidP="00A2164C">
            <w:pPr>
              <w:pStyle w:val="TableSideHeading"/>
              <w:keepLines w:val="0"/>
              <w:rPr>
                <w:rFonts w:cs="Arial"/>
                <w:sz w:val="22"/>
                <w:szCs w:val="22"/>
                <w:highlight w:val="yellow"/>
              </w:rPr>
            </w:pPr>
          </w:p>
        </w:tc>
        <w:tc>
          <w:tcPr>
            <w:tcW w:w="624" w:type="dxa"/>
          </w:tcPr>
          <w:p w:rsidR="001A7D83" w:rsidRPr="00CD2EC7" w:rsidRDefault="001A7D83" w:rsidP="00A2164C">
            <w:pPr>
              <w:pStyle w:val="TableText"/>
              <w:keepLines w:val="0"/>
              <w:rPr>
                <w:highlight w:val="yellow"/>
              </w:rPr>
            </w:pPr>
          </w:p>
        </w:tc>
        <w:tc>
          <w:tcPr>
            <w:tcW w:w="1474" w:type="dxa"/>
            <w:gridSpan w:val="2"/>
          </w:tcPr>
          <w:p w:rsidR="001A7D83" w:rsidRPr="00652EC8" w:rsidRDefault="001A7D83" w:rsidP="00434BDD">
            <w:pPr>
              <w:pStyle w:val="TableSideHeading"/>
            </w:pPr>
            <w:r w:rsidRPr="00652EC8">
              <w:rPr>
                <w:rFonts w:hint="cs"/>
                <w:rtl/>
              </w:rPr>
              <w:t>"</w:t>
            </w:r>
            <w:r w:rsidR="00434BDD">
              <w:rPr>
                <w:rFonts w:hint="cs"/>
                <w:rtl/>
              </w:rPr>
              <w:t xml:space="preserve">העמדה לעיון הציבור של תכניות </w:t>
            </w:r>
            <w:r w:rsidRPr="00652EC8">
              <w:rPr>
                <w:rFonts w:hint="cs"/>
                <w:rtl/>
              </w:rPr>
              <w:t xml:space="preserve">של חברת חדשות שחדלה לפעול </w:t>
            </w:r>
          </w:p>
        </w:tc>
        <w:tc>
          <w:tcPr>
            <w:tcW w:w="708" w:type="dxa"/>
            <w:gridSpan w:val="2"/>
          </w:tcPr>
          <w:p w:rsidR="001A7D83" w:rsidRPr="00652EC8" w:rsidRDefault="001A7D83" w:rsidP="00A2164C">
            <w:pPr>
              <w:pStyle w:val="TableText"/>
            </w:pPr>
            <w:r w:rsidRPr="00652EC8">
              <w:rPr>
                <w:rFonts w:hint="cs"/>
                <w:rtl/>
              </w:rPr>
              <w:t>70א.</w:t>
            </w:r>
          </w:p>
        </w:tc>
        <w:tc>
          <w:tcPr>
            <w:tcW w:w="5105" w:type="dxa"/>
            <w:gridSpan w:val="2"/>
          </w:tcPr>
          <w:p w:rsidR="001A7D83" w:rsidRPr="00652EC8" w:rsidRDefault="001A7D83" w:rsidP="00F34CBD">
            <w:pPr>
              <w:pStyle w:val="TableText"/>
              <w:tabs>
                <w:tab w:val="clear" w:pos="624"/>
                <w:tab w:val="clear" w:pos="1247"/>
              </w:tabs>
              <w:ind w:right="0"/>
              <w:jc w:val="both"/>
              <w:rPr>
                <w:rtl/>
              </w:rPr>
            </w:pPr>
            <w:r w:rsidRPr="00652EC8">
              <w:rPr>
                <w:rFonts w:hint="cs"/>
                <w:rtl/>
              </w:rPr>
              <w:t>חדלה חברת חדשות לפעול בשל הפסקת הפעילות של בעל זיכיון או של בעל רישיון</w:t>
            </w:r>
            <w:r w:rsidR="00F34CBD" w:rsidRPr="00652EC8">
              <w:rPr>
                <w:rFonts w:hint="cs"/>
                <w:rtl/>
              </w:rPr>
              <w:t>,</w:t>
            </w:r>
            <w:r w:rsidRPr="00652EC8">
              <w:rPr>
                <w:rFonts w:hint="cs"/>
                <w:rtl/>
              </w:rPr>
              <w:t xml:space="preserve"> שהיה בעל מניות הרכוש בה, </w:t>
            </w:r>
            <w:r w:rsidR="00F34CBD" w:rsidRPr="00652EC8">
              <w:rPr>
                <w:rFonts w:hint="cs"/>
                <w:rtl/>
              </w:rPr>
              <w:t xml:space="preserve">יחולו ההוראות המפורטות להלן: </w:t>
            </w:r>
          </w:p>
          <w:p w:rsidR="00F34CBD" w:rsidRPr="00652EC8" w:rsidRDefault="00F34CBD" w:rsidP="009C2A6C">
            <w:pPr>
              <w:pStyle w:val="TableText"/>
              <w:tabs>
                <w:tab w:val="clear" w:pos="624"/>
                <w:tab w:val="clear" w:pos="1247"/>
              </w:tabs>
              <w:ind w:right="0"/>
              <w:jc w:val="both"/>
              <w:rPr>
                <w:rtl/>
              </w:rPr>
            </w:pPr>
          </w:p>
          <w:p w:rsidR="001A7D83" w:rsidRPr="00652EC8" w:rsidRDefault="001A7D83" w:rsidP="00F34CBD">
            <w:pPr>
              <w:pStyle w:val="TableText"/>
              <w:tabs>
                <w:tab w:val="clear" w:pos="624"/>
              </w:tabs>
              <w:ind w:right="0"/>
              <w:jc w:val="both"/>
            </w:pPr>
          </w:p>
        </w:tc>
      </w:tr>
      <w:tr w:rsidR="00F34CBD" w:rsidTr="00F34CBD">
        <w:trPr>
          <w:cantSplit/>
          <w:trHeight w:val="60"/>
        </w:trPr>
        <w:tc>
          <w:tcPr>
            <w:tcW w:w="1871" w:type="dxa"/>
          </w:tcPr>
          <w:p w:rsidR="00F34CBD" w:rsidRPr="00CD2EC7" w:rsidRDefault="00F34CBD" w:rsidP="00A2164C">
            <w:pPr>
              <w:pStyle w:val="TableSideHeading"/>
              <w:keepLines w:val="0"/>
              <w:rPr>
                <w:rFonts w:cs="Arial"/>
                <w:sz w:val="22"/>
                <w:szCs w:val="22"/>
                <w:highlight w:val="yellow"/>
              </w:rPr>
            </w:pPr>
          </w:p>
        </w:tc>
        <w:tc>
          <w:tcPr>
            <w:tcW w:w="624" w:type="dxa"/>
          </w:tcPr>
          <w:p w:rsidR="00F34CBD" w:rsidRPr="00CD2EC7" w:rsidRDefault="00F34CBD" w:rsidP="00A2164C">
            <w:pPr>
              <w:pStyle w:val="TableText"/>
              <w:keepLines w:val="0"/>
              <w:rPr>
                <w:highlight w:val="yellow"/>
              </w:rPr>
            </w:pPr>
          </w:p>
        </w:tc>
        <w:tc>
          <w:tcPr>
            <w:tcW w:w="1474" w:type="dxa"/>
            <w:gridSpan w:val="2"/>
          </w:tcPr>
          <w:p w:rsidR="00F34CBD" w:rsidRPr="00652EC8" w:rsidRDefault="00F34CBD" w:rsidP="00A2164C">
            <w:pPr>
              <w:pStyle w:val="TableSideHeading"/>
              <w:rPr>
                <w:rtl/>
              </w:rPr>
            </w:pPr>
          </w:p>
        </w:tc>
        <w:tc>
          <w:tcPr>
            <w:tcW w:w="708" w:type="dxa"/>
            <w:gridSpan w:val="2"/>
          </w:tcPr>
          <w:p w:rsidR="00F34CBD" w:rsidRPr="00652EC8" w:rsidRDefault="00F34CBD" w:rsidP="00A2164C">
            <w:pPr>
              <w:pStyle w:val="TableText"/>
              <w:rPr>
                <w:rtl/>
              </w:rPr>
            </w:pPr>
          </w:p>
        </w:tc>
        <w:tc>
          <w:tcPr>
            <w:tcW w:w="709" w:type="dxa"/>
          </w:tcPr>
          <w:p w:rsidR="00F34CBD" w:rsidRPr="00652EC8" w:rsidRDefault="00F34CBD" w:rsidP="00F34CBD">
            <w:pPr>
              <w:pStyle w:val="TableText"/>
              <w:numPr>
                <w:ilvl w:val="0"/>
                <w:numId w:val="15"/>
              </w:numPr>
              <w:tabs>
                <w:tab w:val="clear" w:pos="624"/>
                <w:tab w:val="clear" w:pos="1247"/>
              </w:tabs>
              <w:ind w:right="0"/>
              <w:jc w:val="both"/>
              <w:rPr>
                <w:rtl/>
              </w:rPr>
            </w:pPr>
          </w:p>
        </w:tc>
        <w:tc>
          <w:tcPr>
            <w:tcW w:w="4396" w:type="dxa"/>
          </w:tcPr>
          <w:p w:rsidR="00F34CBD" w:rsidRPr="00652EC8" w:rsidRDefault="00F34CBD" w:rsidP="00434BDD">
            <w:pPr>
              <w:pStyle w:val="TableText"/>
              <w:tabs>
                <w:tab w:val="clear" w:pos="624"/>
                <w:tab w:val="clear" w:pos="1247"/>
              </w:tabs>
              <w:ind w:right="0"/>
              <w:jc w:val="both"/>
              <w:rPr>
                <w:rtl/>
              </w:rPr>
            </w:pPr>
            <w:r w:rsidRPr="00652EC8">
              <w:rPr>
                <w:rtl/>
              </w:rPr>
              <w:t xml:space="preserve">חברת החדשות </w:t>
            </w:r>
            <w:r w:rsidRPr="00652EC8">
              <w:rPr>
                <w:rFonts w:hint="cs"/>
                <w:rtl/>
              </w:rPr>
              <w:t>תעשה</w:t>
            </w:r>
            <w:r w:rsidRPr="00652EC8">
              <w:rPr>
                <w:rtl/>
              </w:rPr>
              <w:t xml:space="preserve"> עותק מכל תכנית ששידרה</w:t>
            </w:r>
            <w:r w:rsidR="00434BDD">
              <w:rPr>
                <w:rFonts w:hint="cs"/>
                <w:rtl/>
              </w:rPr>
              <w:t xml:space="preserve"> או </w:t>
            </w:r>
            <w:r w:rsidRPr="00652EC8">
              <w:rPr>
                <w:rtl/>
              </w:rPr>
              <w:t>החזיקה ברשותה לפני הפסקת הפעילות</w:t>
            </w:r>
            <w:r w:rsidR="00B824BD" w:rsidRPr="00652EC8">
              <w:rPr>
                <w:rFonts w:hint="cs"/>
                <w:rtl/>
              </w:rPr>
              <w:t xml:space="preserve"> כאמור לעיל </w:t>
            </w:r>
            <w:r w:rsidRPr="00652EC8">
              <w:rPr>
                <w:rtl/>
              </w:rPr>
              <w:t>ותעבירה לרשות</w:t>
            </w:r>
            <w:r w:rsidR="00616442" w:rsidRPr="00616442">
              <w:rPr>
                <w:rtl/>
              </w:rPr>
              <w:t>;</w:t>
            </w:r>
          </w:p>
        </w:tc>
      </w:tr>
      <w:tr w:rsidR="00F34CBD" w:rsidTr="00F34CBD">
        <w:trPr>
          <w:cantSplit/>
          <w:trHeight w:val="60"/>
        </w:trPr>
        <w:tc>
          <w:tcPr>
            <w:tcW w:w="1871" w:type="dxa"/>
          </w:tcPr>
          <w:p w:rsidR="00F34CBD" w:rsidRPr="00CD2EC7" w:rsidRDefault="00F34CBD" w:rsidP="00A2164C">
            <w:pPr>
              <w:pStyle w:val="TableSideHeading"/>
              <w:keepLines w:val="0"/>
              <w:rPr>
                <w:rFonts w:cs="Arial"/>
                <w:sz w:val="22"/>
                <w:szCs w:val="22"/>
                <w:highlight w:val="yellow"/>
              </w:rPr>
            </w:pPr>
          </w:p>
        </w:tc>
        <w:tc>
          <w:tcPr>
            <w:tcW w:w="624" w:type="dxa"/>
          </w:tcPr>
          <w:p w:rsidR="00F34CBD" w:rsidRPr="00CD2EC7" w:rsidRDefault="00F34CBD" w:rsidP="00A2164C">
            <w:pPr>
              <w:pStyle w:val="TableText"/>
              <w:keepLines w:val="0"/>
              <w:rPr>
                <w:highlight w:val="yellow"/>
              </w:rPr>
            </w:pPr>
          </w:p>
        </w:tc>
        <w:tc>
          <w:tcPr>
            <w:tcW w:w="1474" w:type="dxa"/>
            <w:gridSpan w:val="2"/>
          </w:tcPr>
          <w:p w:rsidR="00F34CBD" w:rsidRPr="00652EC8" w:rsidRDefault="00F34CBD" w:rsidP="00A2164C">
            <w:pPr>
              <w:pStyle w:val="TableSideHeading"/>
              <w:rPr>
                <w:rtl/>
              </w:rPr>
            </w:pPr>
          </w:p>
        </w:tc>
        <w:tc>
          <w:tcPr>
            <w:tcW w:w="708" w:type="dxa"/>
            <w:gridSpan w:val="2"/>
          </w:tcPr>
          <w:p w:rsidR="00F34CBD" w:rsidRPr="00652EC8" w:rsidRDefault="00F34CBD" w:rsidP="00A2164C">
            <w:pPr>
              <w:pStyle w:val="TableText"/>
              <w:rPr>
                <w:rtl/>
              </w:rPr>
            </w:pPr>
          </w:p>
        </w:tc>
        <w:tc>
          <w:tcPr>
            <w:tcW w:w="709" w:type="dxa"/>
          </w:tcPr>
          <w:p w:rsidR="00F34CBD" w:rsidRPr="00652EC8" w:rsidRDefault="00F34CBD" w:rsidP="00F34CBD">
            <w:pPr>
              <w:pStyle w:val="TableText"/>
              <w:numPr>
                <w:ilvl w:val="0"/>
                <w:numId w:val="15"/>
              </w:numPr>
              <w:tabs>
                <w:tab w:val="clear" w:pos="624"/>
                <w:tab w:val="clear" w:pos="1247"/>
              </w:tabs>
              <w:ind w:right="0"/>
              <w:jc w:val="both"/>
              <w:rPr>
                <w:rtl/>
              </w:rPr>
            </w:pPr>
          </w:p>
        </w:tc>
        <w:tc>
          <w:tcPr>
            <w:tcW w:w="4396" w:type="dxa"/>
          </w:tcPr>
          <w:p w:rsidR="00F34CBD" w:rsidRDefault="00F34CBD" w:rsidP="00616442">
            <w:pPr>
              <w:pStyle w:val="TableText"/>
              <w:tabs>
                <w:tab w:val="clear" w:pos="624"/>
                <w:tab w:val="clear" w:pos="1247"/>
              </w:tabs>
              <w:ind w:right="0"/>
              <w:jc w:val="both"/>
              <w:rPr>
                <w:rtl/>
              </w:rPr>
            </w:pPr>
            <w:r w:rsidRPr="00652EC8">
              <w:rPr>
                <w:rFonts w:hint="cs"/>
                <w:rtl/>
              </w:rPr>
              <w:t xml:space="preserve">בגין </w:t>
            </w:r>
            <w:r w:rsidR="00B824BD" w:rsidRPr="00652EC8">
              <w:rPr>
                <w:rFonts w:hint="cs"/>
                <w:rtl/>
              </w:rPr>
              <w:t xml:space="preserve">יצירת </w:t>
            </w:r>
            <w:r w:rsidRPr="00652EC8">
              <w:rPr>
                <w:rFonts w:hint="cs"/>
                <w:rtl/>
              </w:rPr>
              <w:t xml:space="preserve">עותק כאמור בסעיף קטן (א) והעברתו לרשות, לא תהא </w:t>
            </w:r>
            <w:r w:rsidRPr="00652EC8">
              <w:rPr>
                <w:rtl/>
              </w:rPr>
              <w:t xml:space="preserve">חברת החדשות </w:t>
            </w:r>
            <w:r w:rsidRPr="00652EC8">
              <w:rPr>
                <w:rFonts w:hint="cs"/>
                <w:rtl/>
              </w:rPr>
              <w:t>חייבת</w:t>
            </w:r>
            <w:r w:rsidR="00616442">
              <w:rPr>
                <w:rtl/>
              </w:rPr>
              <w:t xml:space="preserve"> בתשלום</w:t>
            </w:r>
            <w:r w:rsidR="00616442">
              <w:rPr>
                <w:rFonts w:hint="cs"/>
                <w:rtl/>
              </w:rPr>
              <w:t xml:space="preserve"> </w:t>
            </w:r>
            <w:r w:rsidRPr="00652EC8">
              <w:rPr>
                <w:rFonts w:hint="cs"/>
                <w:rtl/>
              </w:rPr>
              <w:t>לבעל</w:t>
            </w:r>
            <w:r w:rsidR="00616442">
              <w:rPr>
                <w:rFonts w:hint="cs"/>
                <w:rtl/>
              </w:rPr>
              <w:t>י</w:t>
            </w:r>
            <w:r w:rsidRPr="00652EC8">
              <w:rPr>
                <w:rFonts w:hint="cs"/>
                <w:rtl/>
              </w:rPr>
              <w:t xml:space="preserve"> זכויות </w:t>
            </w:r>
            <w:r w:rsidR="00616442">
              <w:rPr>
                <w:rFonts w:hint="cs"/>
                <w:rtl/>
              </w:rPr>
              <w:t xml:space="preserve">הקניין הרוחני </w:t>
            </w:r>
            <w:r w:rsidRPr="00652EC8">
              <w:rPr>
                <w:rFonts w:hint="cs"/>
                <w:rtl/>
              </w:rPr>
              <w:t xml:space="preserve">בתוכניות. </w:t>
            </w:r>
          </w:p>
          <w:p w:rsidR="00616442" w:rsidRPr="00652EC8" w:rsidRDefault="00616442" w:rsidP="00B824BD">
            <w:pPr>
              <w:pStyle w:val="TableText"/>
              <w:tabs>
                <w:tab w:val="clear" w:pos="624"/>
                <w:tab w:val="clear" w:pos="1247"/>
              </w:tabs>
              <w:ind w:right="0"/>
              <w:jc w:val="both"/>
              <w:rPr>
                <w:rtl/>
              </w:rPr>
            </w:pPr>
            <w:r w:rsidRPr="00616442">
              <w:rPr>
                <w:rtl/>
              </w:rPr>
              <w:t xml:space="preserve">בסעיף זה - "זכויות </w:t>
            </w:r>
            <w:r w:rsidR="00DD0FED">
              <w:rPr>
                <w:rFonts w:hint="cs"/>
                <w:rtl/>
              </w:rPr>
              <w:t>ה</w:t>
            </w:r>
            <w:r w:rsidRPr="00616442">
              <w:rPr>
                <w:rtl/>
              </w:rPr>
              <w:t xml:space="preserve">קניין רוחני" – לרבות זכות יוצרים לפי חוק זכות יוצרים, </w:t>
            </w:r>
            <w:r w:rsidR="004D6DA9">
              <w:rPr>
                <w:rFonts w:hint="cs"/>
                <w:rtl/>
              </w:rPr>
              <w:t xml:space="preserve">תשס"ח-2007 </w:t>
            </w:r>
            <w:r w:rsidRPr="00616442">
              <w:rPr>
                <w:rtl/>
              </w:rPr>
              <w:t>וזכויות מבצעים ומשדרים לפי חוק זכויות מבצעים ומשדרים</w:t>
            </w:r>
            <w:r w:rsidR="004D6DA9">
              <w:rPr>
                <w:rFonts w:hint="cs"/>
                <w:rtl/>
              </w:rPr>
              <w:t>, תשמ"ד-1984</w:t>
            </w:r>
            <w:r w:rsidRPr="00616442">
              <w:rPr>
                <w:rtl/>
              </w:rPr>
              <w:t>;</w:t>
            </w:r>
          </w:p>
        </w:tc>
      </w:tr>
      <w:tr w:rsidR="00F34CBD" w:rsidTr="00F34CBD">
        <w:trPr>
          <w:cantSplit/>
          <w:trHeight w:val="60"/>
        </w:trPr>
        <w:tc>
          <w:tcPr>
            <w:tcW w:w="1871" w:type="dxa"/>
          </w:tcPr>
          <w:p w:rsidR="00F34CBD" w:rsidRPr="00CD2EC7" w:rsidRDefault="00F34CBD" w:rsidP="00A2164C">
            <w:pPr>
              <w:pStyle w:val="TableSideHeading"/>
              <w:keepLines w:val="0"/>
              <w:rPr>
                <w:rFonts w:cs="Arial"/>
                <w:sz w:val="22"/>
                <w:szCs w:val="22"/>
                <w:highlight w:val="yellow"/>
              </w:rPr>
            </w:pPr>
          </w:p>
        </w:tc>
        <w:tc>
          <w:tcPr>
            <w:tcW w:w="624" w:type="dxa"/>
          </w:tcPr>
          <w:p w:rsidR="00F34CBD" w:rsidRPr="00CD2EC7" w:rsidRDefault="00F34CBD" w:rsidP="00A2164C">
            <w:pPr>
              <w:pStyle w:val="TableText"/>
              <w:keepLines w:val="0"/>
              <w:rPr>
                <w:highlight w:val="yellow"/>
              </w:rPr>
            </w:pPr>
          </w:p>
        </w:tc>
        <w:tc>
          <w:tcPr>
            <w:tcW w:w="1474" w:type="dxa"/>
            <w:gridSpan w:val="2"/>
          </w:tcPr>
          <w:p w:rsidR="00F34CBD" w:rsidRPr="00652EC8" w:rsidRDefault="00F34CBD" w:rsidP="00A2164C">
            <w:pPr>
              <w:pStyle w:val="TableSideHeading"/>
              <w:rPr>
                <w:rtl/>
              </w:rPr>
            </w:pPr>
          </w:p>
        </w:tc>
        <w:tc>
          <w:tcPr>
            <w:tcW w:w="708" w:type="dxa"/>
            <w:gridSpan w:val="2"/>
          </w:tcPr>
          <w:p w:rsidR="00F34CBD" w:rsidRPr="00652EC8" w:rsidRDefault="00F34CBD" w:rsidP="00A2164C">
            <w:pPr>
              <w:pStyle w:val="TableText"/>
              <w:rPr>
                <w:rtl/>
              </w:rPr>
            </w:pPr>
          </w:p>
        </w:tc>
        <w:tc>
          <w:tcPr>
            <w:tcW w:w="709" w:type="dxa"/>
          </w:tcPr>
          <w:p w:rsidR="00F34CBD" w:rsidRPr="00652EC8" w:rsidRDefault="00F34CBD" w:rsidP="00F34CBD">
            <w:pPr>
              <w:pStyle w:val="TableText"/>
              <w:numPr>
                <w:ilvl w:val="0"/>
                <w:numId w:val="15"/>
              </w:numPr>
              <w:tabs>
                <w:tab w:val="clear" w:pos="624"/>
                <w:tab w:val="clear" w:pos="1247"/>
              </w:tabs>
              <w:ind w:right="0"/>
              <w:jc w:val="both"/>
              <w:rPr>
                <w:rtl/>
              </w:rPr>
            </w:pPr>
          </w:p>
        </w:tc>
        <w:tc>
          <w:tcPr>
            <w:tcW w:w="4396" w:type="dxa"/>
          </w:tcPr>
          <w:p w:rsidR="00F34CBD" w:rsidRPr="00652EC8" w:rsidRDefault="00F34CBD" w:rsidP="00616442">
            <w:pPr>
              <w:pStyle w:val="TableText"/>
              <w:tabs>
                <w:tab w:val="clear" w:pos="624"/>
                <w:tab w:val="clear" w:pos="1247"/>
              </w:tabs>
              <w:ind w:right="0"/>
              <w:jc w:val="both"/>
              <w:rPr>
                <w:rtl/>
              </w:rPr>
            </w:pPr>
            <w:r w:rsidRPr="00652EC8">
              <w:rPr>
                <w:rFonts w:hint="cs"/>
                <w:rtl/>
              </w:rPr>
              <w:t xml:space="preserve">הרשות </w:t>
            </w:r>
            <w:r w:rsidR="00616442">
              <w:rPr>
                <w:rFonts w:hint="cs"/>
                <w:rtl/>
              </w:rPr>
              <w:t xml:space="preserve">תעמיד </w:t>
            </w:r>
            <w:r w:rsidRPr="00652EC8">
              <w:rPr>
                <w:rFonts w:hint="cs"/>
                <w:rtl/>
              </w:rPr>
              <w:t>לעיון הציבור את התוכניות כאמור בסעיף (א)</w:t>
            </w:r>
            <w:r w:rsidR="00B824BD" w:rsidRPr="00652EC8">
              <w:rPr>
                <w:rFonts w:hint="cs"/>
                <w:rtl/>
              </w:rPr>
              <w:t xml:space="preserve">, </w:t>
            </w:r>
            <w:r w:rsidRPr="00652EC8">
              <w:rPr>
                <w:rtl/>
              </w:rPr>
              <w:t>ללא ת</w:t>
            </w:r>
            <w:r w:rsidR="00616442">
              <w:rPr>
                <w:rtl/>
              </w:rPr>
              <w:t>מורה ובאופן שתקבע המועצה בכללים</w:t>
            </w:r>
            <w:r w:rsidR="00616442" w:rsidRPr="00616442">
              <w:rPr>
                <w:rtl/>
              </w:rPr>
              <w:t>;</w:t>
            </w:r>
            <w:r w:rsidRPr="00652EC8">
              <w:rPr>
                <w:rtl/>
              </w:rPr>
              <w:t xml:space="preserve">  </w:t>
            </w:r>
          </w:p>
        </w:tc>
      </w:tr>
      <w:tr w:rsidR="00F34CBD" w:rsidTr="00F34CBD">
        <w:trPr>
          <w:cantSplit/>
          <w:trHeight w:val="60"/>
        </w:trPr>
        <w:tc>
          <w:tcPr>
            <w:tcW w:w="1871" w:type="dxa"/>
          </w:tcPr>
          <w:p w:rsidR="00F34CBD" w:rsidRPr="00CD2EC7" w:rsidRDefault="00F34CBD" w:rsidP="00A2164C">
            <w:pPr>
              <w:pStyle w:val="TableSideHeading"/>
              <w:keepLines w:val="0"/>
              <w:rPr>
                <w:rFonts w:cs="Arial"/>
                <w:sz w:val="22"/>
                <w:szCs w:val="22"/>
                <w:highlight w:val="yellow"/>
              </w:rPr>
            </w:pPr>
          </w:p>
        </w:tc>
        <w:tc>
          <w:tcPr>
            <w:tcW w:w="624" w:type="dxa"/>
          </w:tcPr>
          <w:p w:rsidR="00F34CBD" w:rsidRPr="00CD2EC7" w:rsidRDefault="00F34CBD" w:rsidP="00A2164C">
            <w:pPr>
              <w:pStyle w:val="TableText"/>
              <w:keepLines w:val="0"/>
              <w:rPr>
                <w:highlight w:val="yellow"/>
              </w:rPr>
            </w:pPr>
          </w:p>
        </w:tc>
        <w:tc>
          <w:tcPr>
            <w:tcW w:w="1474" w:type="dxa"/>
            <w:gridSpan w:val="2"/>
          </w:tcPr>
          <w:p w:rsidR="00F34CBD" w:rsidRPr="00652EC8" w:rsidRDefault="00F34CBD" w:rsidP="00A2164C">
            <w:pPr>
              <w:pStyle w:val="TableSideHeading"/>
              <w:rPr>
                <w:rtl/>
              </w:rPr>
            </w:pPr>
          </w:p>
        </w:tc>
        <w:tc>
          <w:tcPr>
            <w:tcW w:w="708" w:type="dxa"/>
            <w:gridSpan w:val="2"/>
          </w:tcPr>
          <w:p w:rsidR="00F34CBD" w:rsidRPr="00652EC8" w:rsidRDefault="00F34CBD" w:rsidP="00A2164C">
            <w:pPr>
              <w:pStyle w:val="TableText"/>
              <w:rPr>
                <w:rtl/>
              </w:rPr>
            </w:pPr>
          </w:p>
        </w:tc>
        <w:tc>
          <w:tcPr>
            <w:tcW w:w="709" w:type="dxa"/>
          </w:tcPr>
          <w:p w:rsidR="00F34CBD" w:rsidRPr="00652EC8" w:rsidRDefault="00F34CBD" w:rsidP="00F34CBD">
            <w:pPr>
              <w:pStyle w:val="TableText"/>
              <w:numPr>
                <w:ilvl w:val="0"/>
                <w:numId w:val="15"/>
              </w:numPr>
              <w:tabs>
                <w:tab w:val="clear" w:pos="624"/>
                <w:tab w:val="clear" w:pos="1247"/>
              </w:tabs>
              <w:ind w:right="0"/>
              <w:jc w:val="both"/>
              <w:rPr>
                <w:rtl/>
              </w:rPr>
            </w:pPr>
          </w:p>
        </w:tc>
        <w:tc>
          <w:tcPr>
            <w:tcW w:w="4396" w:type="dxa"/>
          </w:tcPr>
          <w:p w:rsidR="00F34CBD" w:rsidRPr="00652EC8" w:rsidRDefault="00F34CBD" w:rsidP="004121C7">
            <w:pPr>
              <w:pStyle w:val="TableText"/>
              <w:tabs>
                <w:tab w:val="clear" w:pos="624"/>
                <w:tab w:val="clear" w:pos="1247"/>
              </w:tabs>
              <w:ind w:right="0"/>
              <w:jc w:val="both"/>
              <w:rPr>
                <w:rtl/>
              </w:rPr>
            </w:pPr>
            <w:r w:rsidRPr="00652EC8">
              <w:rPr>
                <w:rtl/>
              </w:rPr>
              <w:t xml:space="preserve">לעניין סעיף זה "תכנית" – כל תוכן </w:t>
            </w:r>
            <w:r w:rsidR="004121C7">
              <w:rPr>
                <w:rFonts w:hint="cs"/>
                <w:rtl/>
              </w:rPr>
              <w:t>לרבות</w:t>
            </w:r>
            <w:r w:rsidRPr="00652EC8">
              <w:rPr>
                <w:rtl/>
              </w:rPr>
              <w:t xml:space="preserve"> כל </w:t>
            </w:r>
            <w:r w:rsidR="004121C7">
              <w:rPr>
                <w:rFonts w:hint="cs"/>
                <w:rtl/>
              </w:rPr>
              <w:t xml:space="preserve">יצירה או </w:t>
            </w:r>
            <w:r w:rsidRPr="00652EC8">
              <w:rPr>
                <w:rtl/>
              </w:rPr>
              <w:t>חומר הכלול</w:t>
            </w:r>
            <w:r w:rsidR="004121C7">
              <w:rPr>
                <w:rFonts w:hint="cs"/>
                <w:rtl/>
              </w:rPr>
              <w:t>ים</w:t>
            </w:r>
            <w:r w:rsidRPr="00652EC8">
              <w:rPr>
                <w:rtl/>
              </w:rPr>
              <w:t xml:space="preserve"> בתוכן ובכלל זה, סרטים, צילומים</w:t>
            </w:r>
            <w:r w:rsidR="004121C7">
              <w:rPr>
                <w:rFonts w:hint="cs"/>
                <w:rtl/>
              </w:rPr>
              <w:t>, תמונות</w:t>
            </w:r>
            <w:r w:rsidRPr="00652EC8">
              <w:rPr>
                <w:rtl/>
              </w:rPr>
              <w:t xml:space="preserve"> וכל חומר גלם אחר המצוי בידי חברת החדשות.".</w:t>
            </w:r>
          </w:p>
        </w:tc>
      </w:tr>
      <w:tr w:rsidR="00C91D2C" w:rsidTr="00143972">
        <w:trPr>
          <w:cantSplit/>
          <w:trHeight w:val="60"/>
        </w:trPr>
        <w:tc>
          <w:tcPr>
            <w:tcW w:w="1871" w:type="dxa"/>
          </w:tcPr>
          <w:p w:rsidR="00C91D2C" w:rsidRDefault="00C91D2C" w:rsidP="00A2164C">
            <w:pPr>
              <w:pStyle w:val="TableSideHeading"/>
            </w:pPr>
            <w:r>
              <w:rPr>
                <w:rFonts w:hint="cs"/>
                <w:rtl/>
              </w:rPr>
              <w:t>תיקון סעיף 71ד</w:t>
            </w:r>
          </w:p>
        </w:tc>
        <w:tc>
          <w:tcPr>
            <w:tcW w:w="624" w:type="dxa"/>
          </w:tcPr>
          <w:p w:rsidR="00C91D2C" w:rsidRDefault="009B12E4" w:rsidP="00A2164C">
            <w:pPr>
              <w:pStyle w:val="TableText"/>
            </w:pPr>
            <w:r>
              <w:rPr>
                <w:rFonts w:hint="cs"/>
                <w:rtl/>
              </w:rPr>
              <w:t>3</w:t>
            </w:r>
            <w:r w:rsidR="00C91D2C">
              <w:rPr>
                <w:rFonts w:hint="cs"/>
                <w:rtl/>
              </w:rPr>
              <w:t>.</w:t>
            </w:r>
          </w:p>
        </w:tc>
        <w:tc>
          <w:tcPr>
            <w:tcW w:w="7287" w:type="dxa"/>
            <w:gridSpan w:val="6"/>
          </w:tcPr>
          <w:p w:rsidR="00C91D2C" w:rsidRDefault="00C91D2C" w:rsidP="00630B04">
            <w:pPr>
              <w:pStyle w:val="TableBlock"/>
            </w:pPr>
            <w:r w:rsidRPr="007A53D9">
              <w:rPr>
                <w:color w:val="auto"/>
                <w:sz w:val="26"/>
                <w:rtl/>
              </w:rPr>
              <w:t>ב</w:t>
            </w:r>
            <w:r>
              <w:rPr>
                <w:rFonts w:hint="cs"/>
                <w:color w:val="auto"/>
                <w:sz w:val="26"/>
                <w:rtl/>
              </w:rPr>
              <w:t xml:space="preserve">סעיף 71ד לחוק העיקרי </w:t>
            </w:r>
            <w:r w:rsidR="001C1AD5">
              <w:rPr>
                <w:color w:val="auto"/>
                <w:sz w:val="26"/>
                <w:rtl/>
              </w:rPr>
              <w:t>–</w:t>
            </w:r>
            <w:r w:rsidR="001C1AD5">
              <w:rPr>
                <w:rFonts w:hint="cs"/>
                <w:color w:val="auto"/>
                <w:sz w:val="26"/>
                <w:rtl/>
              </w:rPr>
              <w:t xml:space="preserve"> </w:t>
            </w:r>
            <w:r>
              <w:rPr>
                <w:rFonts w:hint="cs"/>
                <w:color w:val="auto"/>
                <w:sz w:val="26"/>
                <w:rtl/>
              </w:rPr>
              <w:t xml:space="preserve"> </w:t>
            </w:r>
          </w:p>
        </w:tc>
      </w:tr>
      <w:tr w:rsidR="00630B04" w:rsidTr="001A7D83">
        <w:trPr>
          <w:cantSplit/>
          <w:trHeight w:val="60"/>
        </w:trPr>
        <w:tc>
          <w:tcPr>
            <w:tcW w:w="1871" w:type="dxa"/>
          </w:tcPr>
          <w:p w:rsidR="00630B04" w:rsidRDefault="00630B04" w:rsidP="00A2164C">
            <w:pPr>
              <w:pStyle w:val="TableSideHeading"/>
              <w:rPr>
                <w:rtl/>
              </w:rPr>
            </w:pPr>
          </w:p>
        </w:tc>
        <w:tc>
          <w:tcPr>
            <w:tcW w:w="624" w:type="dxa"/>
          </w:tcPr>
          <w:p w:rsidR="00630B04" w:rsidRDefault="00630B04" w:rsidP="00A2164C">
            <w:pPr>
              <w:pStyle w:val="TableText"/>
              <w:rPr>
                <w:rtl/>
              </w:rPr>
            </w:pPr>
          </w:p>
        </w:tc>
        <w:tc>
          <w:tcPr>
            <w:tcW w:w="907" w:type="dxa"/>
          </w:tcPr>
          <w:p w:rsidR="00630B04" w:rsidRDefault="00630B04" w:rsidP="00A2164C">
            <w:pPr>
              <w:pStyle w:val="TableText"/>
              <w:rPr>
                <w:rtl/>
              </w:rPr>
            </w:pPr>
            <w:r>
              <w:rPr>
                <w:rFonts w:hint="cs"/>
                <w:rtl/>
              </w:rPr>
              <w:t>(א)</w:t>
            </w:r>
          </w:p>
        </w:tc>
        <w:tc>
          <w:tcPr>
            <w:tcW w:w="6380" w:type="dxa"/>
            <w:gridSpan w:val="5"/>
          </w:tcPr>
          <w:p w:rsidR="00630B04" w:rsidRPr="007A53D9" w:rsidRDefault="00630B04" w:rsidP="00630B04">
            <w:pPr>
              <w:pStyle w:val="TableBlock"/>
              <w:rPr>
                <w:color w:val="auto"/>
                <w:sz w:val="26"/>
                <w:rtl/>
              </w:rPr>
            </w:pPr>
            <w:r>
              <w:rPr>
                <w:rFonts w:hint="cs"/>
                <w:color w:val="auto"/>
                <w:sz w:val="26"/>
                <w:rtl/>
              </w:rPr>
              <w:t xml:space="preserve">בסעיף קטן (א) </w:t>
            </w:r>
            <w:r w:rsidR="001C1AD5">
              <w:rPr>
                <w:color w:val="auto"/>
                <w:sz w:val="26"/>
                <w:rtl/>
              </w:rPr>
              <w:t>–</w:t>
            </w:r>
            <w:r>
              <w:rPr>
                <w:rFonts w:hint="cs"/>
                <w:color w:val="auto"/>
                <w:sz w:val="26"/>
                <w:rtl/>
              </w:rPr>
              <w:t xml:space="preserve"> </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A2164C">
            <w:pPr>
              <w:pStyle w:val="TableText"/>
              <w:rPr>
                <w:rtl/>
              </w:rPr>
            </w:pPr>
          </w:p>
        </w:tc>
        <w:tc>
          <w:tcPr>
            <w:tcW w:w="567" w:type="dxa"/>
          </w:tcPr>
          <w:p w:rsidR="0084105B" w:rsidRPr="007A53D9" w:rsidRDefault="0084105B" w:rsidP="00A2164C">
            <w:pPr>
              <w:pStyle w:val="TableBlock"/>
              <w:rPr>
                <w:color w:val="auto"/>
                <w:sz w:val="26"/>
                <w:rtl/>
              </w:rPr>
            </w:pPr>
            <w:r>
              <w:rPr>
                <w:rFonts w:hint="cs"/>
                <w:color w:val="auto"/>
                <w:sz w:val="26"/>
                <w:rtl/>
              </w:rPr>
              <w:t xml:space="preserve">(1) </w:t>
            </w:r>
          </w:p>
        </w:tc>
        <w:tc>
          <w:tcPr>
            <w:tcW w:w="5813" w:type="dxa"/>
            <w:gridSpan w:val="4"/>
          </w:tcPr>
          <w:p w:rsidR="0084105B" w:rsidRDefault="0084105B" w:rsidP="00A2164C">
            <w:pPr>
              <w:pStyle w:val="TableBlock"/>
              <w:rPr>
                <w:color w:val="auto"/>
                <w:sz w:val="26"/>
                <w:rtl/>
              </w:rPr>
            </w:pPr>
            <w:r w:rsidRPr="00865CCA">
              <w:rPr>
                <w:color w:val="auto"/>
                <w:sz w:val="26"/>
                <w:rtl/>
              </w:rPr>
              <w:t>אחרי ההגדרה "ההתחייבויות בתחום התוכן"</w:t>
            </w:r>
            <w:r>
              <w:rPr>
                <w:rFonts w:hint="cs"/>
                <w:color w:val="auto"/>
                <w:sz w:val="26"/>
                <w:rtl/>
              </w:rPr>
              <w:t>,</w:t>
            </w:r>
            <w:r w:rsidRPr="00865CCA">
              <w:rPr>
                <w:color w:val="auto"/>
                <w:sz w:val="26"/>
                <w:rtl/>
              </w:rPr>
              <w:t xml:space="preserve"> יבוא:</w:t>
            </w:r>
          </w:p>
          <w:p w:rsidR="0084105B" w:rsidRPr="007A53D9" w:rsidRDefault="0084105B" w:rsidP="004A5083">
            <w:pPr>
              <w:pStyle w:val="TableBlock"/>
              <w:rPr>
                <w:color w:val="auto"/>
                <w:sz w:val="26"/>
                <w:rtl/>
              </w:rPr>
            </w:pPr>
            <w:r w:rsidRPr="00865CCA">
              <w:rPr>
                <w:color w:val="auto"/>
                <w:sz w:val="26"/>
                <w:rtl/>
              </w:rPr>
              <w:t>"</w:t>
            </w:r>
            <w:r>
              <w:rPr>
                <w:rFonts w:hint="cs"/>
                <w:color w:val="auto"/>
                <w:sz w:val="26"/>
                <w:rtl/>
              </w:rPr>
              <w:t>"</w:t>
            </w:r>
            <w:r w:rsidRPr="00865CCA">
              <w:rPr>
                <w:color w:val="auto"/>
                <w:sz w:val="26"/>
                <w:rtl/>
              </w:rPr>
              <w:t>יום הת</w:t>
            </w:r>
            <w:r w:rsidR="00C6247D">
              <w:rPr>
                <w:rFonts w:hint="cs"/>
                <w:color w:val="auto"/>
                <w:sz w:val="26"/>
                <w:rtl/>
              </w:rPr>
              <w:t>חילה</w:t>
            </w:r>
            <w:r w:rsidRPr="00865CCA">
              <w:rPr>
                <w:color w:val="auto"/>
                <w:sz w:val="26"/>
                <w:rtl/>
              </w:rPr>
              <w:t>" – יום תחילתו של חוק הרשות השנייה לטלוויזיה ורדיו (תיקון מס'</w:t>
            </w:r>
            <w:r w:rsidR="00C6247D">
              <w:rPr>
                <w:rFonts w:hint="cs"/>
                <w:color w:val="auto"/>
                <w:sz w:val="26"/>
                <w:rtl/>
              </w:rPr>
              <w:t xml:space="preserve"> </w:t>
            </w:r>
            <w:r w:rsidR="004A5083">
              <w:rPr>
                <w:rFonts w:hint="cs"/>
                <w:color w:val="auto"/>
                <w:sz w:val="26"/>
                <w:rtl/>
              </w:rPr>
              <w:t>.....</w:t>
            </w:r>
            <w:r w:rsidR="004A5083">
              <w:rPr>
                <w:rStyle w:val="a5"/>
                <w:color w:val="auto"/>
                <w:sz w:val="26"/>
                <w:rtl/>
              </w:rPr>
              <w:footnoteReference w:id="4"/>
            </w:r>
            <w:r w:rsidR="004A5083">
              <w:rPr>
                <w:rFonts w:hint="cs"/>
                <w:color w:val="auto"/>
                <w:sz w:val="26"/>
                <w:rtl/>
              </w:rPr>
              <w:t>)</w:t>
            </w:r>
            <w:r>
              <w:rPr>
                <w:color w:val="auto"/>
                <w:sz w:val="26"/>
                <w:rtl/>
              </w:rPr>
              <w:t>, התשע"ד-2014</w:t>
            </w:r>
            <w:r w:rsidR="001C1AD5">
              <w:rPr>
                <w:rFonts w:hint="cs"/>
                <w:color w:val="auto"/>
                <w:sz w:val="26"/>
                <w:rtl/>
              </w:rPr>
              <w:t>;</w:t>
            </w:r>
            <w:r>
              <w:rPr>
                <w:rFonts w:hint="cs"/>
                <w:color w:val="auto"/>
                <w:sz w:val="26"/>
                <w:rtl/>
              </w:rPr>
              <w:t>"</w:t>
            </w:r>
            <w:r w:rsidR="004A0AC4" w:rsidRPr="004A0AC4">
              <w:rPr>
                <w:color w:val="auto"/>
                <w:sz w:val="26"/>
                <w:rtl/>
              </w:rPr>
              <w:t>;</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A2164C">
            <w:pPr>
              <w:pStyle w:val="TableText"/>
              <w:rPr>
                <w:rtl/>
              </w:rPr>
            </w:pPr>
          </w:p>
        </w:tc>
        <w:tc>
          <w:tcPr>
            <w:tcW w:w="567" w:type="dxa"/>
          </w:tcPr>
          <w:p w:rsidR="0084105B" w:rsidRDefault="0084105B" w:rsidP="00A2164C">
            <w:pPr>
              <w:pStyle w:val="TableBlock"/>
              <w:rPr>
                <w:color w:val="auto"/>
                <w:sz w:val="26"/>
                <w:rtl/>
              </w:rPr>
            </w:pPr>
            <w:r>
              <w:rPr>
                <w:rFonts w:hint="cs"/>
                <w:color w:val="auto"/>
                <w:sz w:val="26"/>
                <w:rtl/>
              </w:rPr>
              <w:t>(2)</w:t>
            </w:r>
          </w:p>
        </w:tc>
        <w:tc>
          <w:tcPr>
            <w:tcW w:w="5813" w:type="dxa"/>
            <w:gridSpan w:val="4"/>
          </w:tcPr>
          <w:p w:rsidR="0084105B" w:rsidRPr="00865CCA" w:rsidRDefault="0084105B" w:rsidP="002F3E23">
            <w:pPr>
              <w:pStyle w:val="TableBlock"/>
              <w:rPr>
                <w:color w:val="auto"/>
                <w:sz w:val="26"/>
                <w:rtl/>
              </w:rPr>
            </w:pPr>
            <w:r w:rsidRPr="00865CCA">
              <w:rPr>
                <w:color w:val="auto"/>
                <w:sz w:val="26"/>
                <w:rtl/>
              </w:rPr>
              <w:t>ההגדרה "הערכת שווי"</w:t>
            </w:r>
            <w:r>
              <w:rPr>
                <w:rFonts w:hint="cs"/>
                <w:color w:val="auto"/>
                <w:sz w:val="26"/>
                <w:rtl/>
              </w:rPr>
              <w:t xml:space="preserve"> </w:t>
            </w:r>
            <w:r w:rsidR="00191FBF">
              <w:rPr>
                <w:color w:val="auto"/>
                <w:sz w:val="26"/>
                <w:rtl/>
              </w:rPr>
              <w:t>–</w:t>
            </w:r>
            <w:r w:rsidRPr="00865CCA">
              <w:rPr>
                <w:color w:val="auto"/>
                <w:sz w:val="26"/>
                <w:rtl/>
              </w:rPr>
              <w:t xml:space="preserve"> תימחק</w:t>
            </w:r>
            <w:r w:rsidR="002F3E23">
              <w:rPr>
                <w:rFonts w:hint="cs"/>
                <w:color w:val="auto"/>
                <w:sz w:val="26"/>
                <w:rtl/>
              </w:rPr>
              <w:t>.</w:t>
            </w:r>
          </w:p>
        </w:tc>
      </w:tr>
      <w:tr w:rsidR="0084105B" w:rsidTr="001A7D83">
        <w:trPr>
          <w:cantSplit/>
          <w:trHeight w:val="60"/>
        </w:trPr>
        <w:tc>
          <w:tcPr>
            <w:tcW w:w="1871" w:type="dxa"/>
          </w:tcPr>
          <w:p w:rsidR="0084105B" w:rsidRPr="00E23058" w:rsidRDefault="0084105B" w:rsidP="00A2164C">
            <w:pPr>
              <w:pStyle w:val="TableSideHeading"/>
            </w:pPr>
          </w:p>
        </w:tc>
        <w:tc>
          <w:tcPr>
            <w:tcW w:w="624" w:type="dxa"/>
          </w:tcPr>
          <w:p w:rsidR="0084105B" w:rsidRPr="00E23058" w:rsidRDefault="0084105B" w:rsidP="00A2164C">
            <w:pPr>
              <w:pStyle w:val="TableText"/>
            </w:pPr>
          </w:p>
        </w:tc>
        <w:tc>
          <w:tcPr>
            <w:tcW w:w="907" w:type="dxa"/>
          </w:tcPr>
          <w:p w:rsidR="0084105B" w:rsidRPr="00E23058" w:rsidRDefault="0084105B" w:rsidP="00A2164C">
            <w:pPr>
              <w:pStyle w:val="TableText"/>
            </w:pPr>
            <w:r w:rsidRPr="00E23058">
              <w:rPr>
                <w:rFonts w:hint="cs"/>
                <w:rtl/>
              </w:rPr>
              <w:t>(</w:t>
            </w:r>
            <w:r>
              <w:rPr>
                <w:rFonts w:hint="cs"/>
                <w:rtl/>
              </w:rPr>
              <w:t>ב</w:t>
            </w:r>
            <w:r w:rsidRPr="00E23058">
              <w:rPr>
                <w:rFonts w:hint="cs"/>
                <w:rtl/>
              </w:rPr>
              <w:t>)</w:t>
            </w:r>
          </w:p>
        </w:tc>
        <w:tc>
          <w:tcPr>
            <w:tcW w:w="6380" w:type="dxa"/>
            <w:gridSpan w:val="5"/>
          </w:tcPr>
          <w:p w:rsidR="0084105B" w:rsidRPr="00E23058" w:rsidRDefault="0084105B" w:rsidP="00A2164C">
            <w:pPr>
              <w:pStyle w:val="TableBlock"/>
              <w:tabs>
                <w:tab w:val="clear" w:pos="624"/>
              </w:tabs>
              <w:rPr>
                <w:color w:val="auto"/>
                <w:sz w:val="26"/>
                <w:rtl/>
              </w:rPr>
            </w:pPr>
            <w:r w:rsidRPr="00E23058">
              <w:rPr>
                <w:rFonts w:hint="cs"/>
                <w:color w:val="auto"/>
                <w:sz w:val="26"/>
                <w:rtl/>
              </w:rPr>
              <w:t xml:space="preserve">סעיפים קטנים (ג) </w:t>
            </w:r>
            <w:r>
              <w:rPr>
                <w:rFonts w:hint="cs"/>
                <w:color w:val="auto"/>
                <w:sz w:val="26"/>
                <w:rtl/>
              </w:rPr>
              <w:t xml:space="preserve">עד </w:t>
            </w:r>
            <w:r w:rsidRPr="00E23058">
              <w:rPr>
                <w:rFonts w:hint="cs"/>
                <w:color w:val="auto"/>
                <w:sz w:val="26"/>
                <w:rtl/>
              </w:rPr>
              <w:t>(</w:t>
            </w:r>
            <w:r>
              <w:rPr>
                <w:rFonts w:hint="cs"/>
                <w:color w:val="auto"/>
                <w:sz w:val="26"/>
                <w:rtl/>
              </w:rPr>
              <w:t>ה</w:t>
            </w:r>
            <w:r w:rsidRPr="00E23058">
              <w:rPr>
                <w:rFonts w:hint="cs"/>
                <w:color w:val="auto"/>
                <w:sz w:val="26"/>
                <w:rtl/>
              </w:rPr>
              <w:t>)</w:t>
            </w:r>
            <w:r>
              <w:rPr>
                <w:rFonts w:hint="cs"/>
                <w:color w:val="auto"/>
                <w:sz w:val="26"/>
                <w:rtl/>
              </w:rPr>
              <w:t xml:space="preserve"> -</w:t>
            </w:r>
            <w:r w:rsidRPr="00E23058">
              <w:rPr>
                <w:rFonts w:hint="cs"/>
                <w:color w:val="auto"/>
                <w:sz w:val="26"/>
                <w:rtl/>
              </w:rPr>
              <w:t xml:space="preserve"> יימחקו</w:t>
            </w:r>
            <w:r w:rsidR="004A0AC4" w:rsidRPr="004A0AC4">
              <w:rPr>
                <w:color w:val="auto"/>
                <w:sz w:val="26"/>
                <w:rtl/>
              </w:rPr>
              <w:t>;</w:t>
            </w:r>
          </w:p>
        </w:tc>
      </w:tr>
      <w:tr w:rsidR="0084105B" w:rsidTr="001A7D83">
        <w:trPr>
          <w:cantSplit/>
          <w:trHeight w:val="60"/>
        </w:trPr>
        <w:tc>
          <w:tcPr>
            <w:tcW w:w="1871" w:type="dxa"/>
          </w:tcPr>
          <w:p w:rsidR="0084105B" w:rsidRPr="00D17330" w:rsidRDefault="0084105B" w:rsidP="00A2164C">
            <w:pPr>
              <w:pStyle w:val="TableSideHeading"/>
              <w:rPr>
                <w:highlight w:val="yellow"/>
              </w:rPr>
            </w:pPr>
          </w:p>
        </w:tc>
        <w:tc>
          <w:tcPr>
            <w:tcW w:w="624" w:type="dxa"/>
          </w:tcPr>
          <w:p w:rsidR="0084105B" w:rsidRPr="001339D0" w:rsidRDefault="0084105B" w:rsidP="00A2164C">
            <w:pPr>
              <w:pStyle w:val="TableText"/>
            </w:pPr>
          </w:p>
        </w:tc>
        <w:tc>
          <w:tcPr>
            <w:tcW w:w="907" w:type="dxa"/>
          </w:tcPr>
          <w:p w:rsidR="0084105B" w:rsidRPr="001339D0" w:rsidRDefault="0084105B" w:rsidP="00A2164C">
            <w:pPr>
              <w:pStyle w:val="TableText"/>
              <w:tabs>
                <w:tab w:val="clear" w:pos="624"/>
              </w:tabs>
              <w:rPr>
                <w:rtl/>
              </w:rPr>
            </w:pPr>
            <w:r>
              <w:rPr>
                <w:rFonts w:hint="cs"/>
                <w:rtl/>
              </w:rPr>
              <w:t xml:space="preserve">(ג) </w:t>
            </w:r>
          </w:p>
        </w:tc>
        <w:tc>
          <w:tcPr>
            <w:tcW w:w="6380" w:type="dxa"/>
            <w:gridSpan w:val="5"/>
          </w:tcPr>
          <w:p w:rsidR="0084105B" w:rsidRPr="001339D0" w:rsidRDefault="0084105B" w:rsidP="00A2164C">
            <w:pPr>
              <w:pStyle w:val="TableBlock"/>
              <w:tabs>
                <w:tab w:val="clear" w:pos="624"/>
              </w:tabs>
              <w:rPr>
                <w:color w:val="auto"/>
                <w:sz w:val="26"/>
                <w:rtl/>
              </w:rPr>
            </w:pPr>
            <w:r w:rsidRPr="00733460">
              <w:rPr>
                <w:color w:val="auto"/>
                <w:sz w:val="26"/>
                <w:rtl/>
              </w:rPr>
              <w:t>בסעיף קטן (ו)</w:t>
            </w:r>
            <w:r w:rsidR="001C1AD5">
              <w:rPr>
                <w:rFonts w:hint="cs"/>
                <w:color w:val="auto"/>
                <w:sz w:val="26"/>
                <w:rtl/>
              </w:rPr>
              <w:t xml:space="preserve"> </w:t>
            </w:r>
            <w:r w:rsidR="001C1AD5">
              <w:rPr>
                <w:color w:val="auto"/>
                <w:sz w:val="26"/>
                <w:rtl/>
              </w:rPr>
              <w:t>–</w:t>
            </w:r>
            <w:r w:rsidR="001C1AD5">
              <w:rPr>
                <w:rFonts w:hint="cs"/>
                <w:color w:val="auto"/>
                <w:sz w:val="26"/>
                <w:rtl/>
              </w:rPr>
              <w:t xml:space="preserve"> </w:t>
            </w:r>
          </w:p>
        </w:tc>
      </w:tr>
      <w:tr w:rsidR="0084105B" w:rsidTr="001A7D83">
        <w:trPr>
          <w:cantSplit/>
          <w:trHeight w:val="60"/>
        </w:trPr>
        <w:tc>
          <w:tcPr>
            <w:tcW w:w="1871" w:type="dxa"/>
          </w:tcPr>
          <w:p w:rsidR="0084105B" w:rsidRPr="00D17330" w:rsidRDefault="0084105B" w:rsidP="00A2164C">
            <w:pPr>
              <w:pStyle w:val="TableSideHeading"/>
              <w:rPr>
                <w:highlight w:val="yellow"/>
              </w:rPr>
            </w:pPr>
          </w:p>
        </w:tc>
        <w:tc>
          <w:tcPr>
            <w:tcW w:w="624" w:type="dxa"/>
          </w:tcPr>
          <w:p w:rsidR="0084105B" w:rsidRPr="001339D0" w:rsidRDefault="0084105B" w:rsidP="00A2164C">
            <w:pPr>
              <w:pStyle w:val="TableText"/>
            </w:pPr>
          </w:p>
        </w:tc>
        <w:tc>
          <w:tcPr>
            <w:tcW w:w="907" w:type="dxa"/>
          </w:tcPr>
          <w:p w:rsidR="0084105B" w:rsidRDefault="0084105B" w:rsidP="00A2164C">
            <w:pPr>
              <w:pStyle w:val="TableText"/>
              <w:tabs>
                <w:tab w:val="clear" w:pos="624"/>
              </w:tabs>
              <w:rPr>
                <w:rtl/>
              </w:rPr>
            </w:pPr>
          </w:p>
        </w:tc>
        <w:tc>
          <w:tcPr>
            <w:tcW w:w="567" w:type="dxa"/>
          </w:tcPr>
          <w:p w:rsidR="0084105B" w:rsidRDefault="0084105B" w:rsidP="00A2164C">
            <w:pPr>
              <w:pStyle w:val="TableBlock"/>
              <w:tabs>
                <w:tab w:val="clear" w:pos="624"/>
              </w:tabs>
              <w:rPr>
                <w:color w:val="auto"/>
                <w:sz w:val="26"/>
                <w:rtl/>
              </w:rPr>
            </w:pPr>
          </w:p>
        </w:tc>
        <w:tc>
          <w:tcPr>
            <w:tcW w:w="708" w:type="dxa"/>
            <w:gridSpan w:val="2"/>
          </w:tcPr>
          <w:p w:rsidR="0084105B" w:rsidRPr="00733460" w:rsidRDefault="0084105B" w:rsidP="00A2164C">
            <w:pPr>
              <w:pStyle w:val="TableBlock"/>
              <w:tabs>
                <w:tab w:val="clear" w:pos="624"/>
              </w:tabs>
              <w:rPr>
                <w:color w:val="auto"/>
                <w:sz w:val="26"/>
                <w:rtl/>
              </w:rPr>
            </w:pPr>
            <w:r>
              <w:rPr>
                <w:rFonts w:hint="cs"/>
                <w:color w:val="auto"/>
                <w:sz w:val="26"/>
                <w:rtl/>
              </w:rPr>
              <w:t>(1)</w:t>
            </w:r>
          </w:p>
        </w:tc>
        <w:tc>
          <w:tcPr>
            <w:tcW w:w="5105" w:type="dxa"/>
            <w:gridSpan w:val="2"/>
          </w:tcPr>
          <w:p w:rsidR="0084105B" w:rsidRPr="00733460" w:rsidRDefault="0084105B" w:rsidP="00926327">
            <w:pPr>
              <w:pStyle w:val="TableBlock"/>
              <w:tabs>
                <w:tab w:val="clear" w:pos="624"/>
              </w:tabs>
              <w:rPr>
                <w:color w:val="auto"/>
                <w:sz w:val="26"/>
                <w:rtl/>
              </w:rPr>
            </w:pPr>
            <w:r>
              <w:rPr>
                <w:rFonts w:hint="cs"/>
                <w:color w:val="auto"/>
                <w:sz w:val="26"/>
                <w:rtl/>
              </w:rPr>
              <w:t xml:space="preserve"> ברישה, </w:t>
            </w:r>
            <w:r w:rsidRPr="0097039C">
              <w:rPr>
                <w:color w:val="auto"/>
                <w:sz w:val="26"/>
                <w:rtl/>
              </w:rPr>
              <w:t xml:space="preserve">במקום </w:t>
            </w:r>
            <w:r>
              <w:rPr>
                <w:rFonts w:hint="cs"/>
                <w:color w:val="auto"/>
                <w:sz w:val="26"/>
                <w:rtl/>
              </w:rPr>
              <w:t>"33א(ב)(1)" יבוא "33א(ב</w:t>
            </w:r>
            <w:r w:rsidR="001C1AD5">
              <w:rPr>
                <w:rFonts w:hint="cs"/>
                <w:color w:val="auto"/>
                <w:sz w:val="26"/>
                <w:rtl/>
              </w:rPr>
              <w:t xml:space="preserve">)"; </w:t>
            </w:r>
            <w:r>
              <w:rPr>
                <w:rFonts w:hint="cs"/>
                <w:color w:val="auto"/>
                <w:sz w:val="26"/>
                <w:rtl/>
              </w:rPr>
              <w:t>במקום "</w:t>
            </w:r>
            <w:r w:rsidRPr="0097039C">
              <w:rPr>
                <w:color w:val="auto"/>
                <w:sz w:val="26"/>
                <w:rtl/>
              </w:rPr>
              <w:t>שהגיש בקשה לפי סעיף קטן (ג)"</w:t>
            </w:r>
            <w:r>
              <w:rPr>
                <w:rFonts w:hint="cs"/>
                <w:color w:val="auto"/>
                <w:sz w:val="26"/>
                <w:rtl/>
              </w:rPr>
              <w:t>,</w:t>
            </w:r>
            <w:r w:rsidRPr="0097039C">
              <w:rPr>
                <w:color w:val="auto"/>
                <w:sz w:val="26"/>
                <w:rtl/>
              </w:rPr>
              <w:t xml:space="preserve"> יבוא "שהודיע כי הוא מעוניין </w:t>
            </w:r>
            <w:r w:rsidR="00926327">
              <w:rPr>
                <w:rFonts w:hint="cs"/>
                <w:color w:val="auto"/>
                <w:sz w:val="26"/>
                <w:rtl/>
              </w:rPr>
              <w:t>לקבל</w:t>
            </w:r>
            <w:r w:rsidRPr="0097039C">
              <w:rPr>
                <w:color w:val="auto"/>
                <w:sz w:val="26"/>
                <w:rtl/>
              </w:rPr>
              <w:t xml:space="preserve"> רישיון כאמור בסעיף קטן (ו1)"</w:t>
            </w:r>
            <w:r w:rsidRPr="00912938">
              <w:rPr>
                <w:color w:val="auto"/>
                <w:sz w:val="26"/>
                <w:rtl/>
              </w:rPr>
              <w:t>;</w:t>
            </w:r>
            <w:r>
              <w:rPr>
                <w:rFonts w:hint="cs"/>
                <w:color w:val="auto"/>
                <w:sz w:val="26"/>
                <w:rtl/>
              </w:rPr>
              <w:t xml:space="preserve"> במקום "עד (3)" יבוא "עד (4)"</w:t>
            </w:r>
            <w:r w:rsidR="001C1AD5">
              <w:rPr>
                <w:rFonts w:hint="cs"/>
                <w:color w:val="auto"/>
                <w:sz w:val="26"/>
                <w:rtl/>
              </w:rPr>
              <w:t>;</w:t>
            </w:r>
          </w:p>
        </w:tc>
      </w:tr>
      <w:tr w:rsidR="0084105B" w:rsidTr="001A7D83">
        <w:trPr>
          <w:cantSplit/>
          <w:trHeight w:val="60"/>
        </w:trPr>
        <w:tc>
          <w:tcPr>
            <w:tcW w:w="1871" w:type="dxa"/>
          </w:tcPr>
          <w:p w:rsidR="0084105B" w:rsidRPr="00CD7EC9" w:rsidRDefault="0084105B" w:rsidP="00A2164C">
            <w:pPr>
              <w:pStyle w:val="TableSideHeading"/>
            </w:pPr>
          </w:p>
          <w:p w:rsidR="0084105B" w:rsidRDefault="0084105B" w:rsidP="00A2164C">
            <w:pPr>
              <w:pStyle w:val="TableSideHeading"/>
              <w:rPr>
                <w:highlight w:val="yellow"/>
                <w:rtl/>
              </w:rPr>
            </w:pPr>
          </w:p>
        </w:tc>
        <w:tc>
          <w:tcPr>
            <w:tcW w:w="624" w:type="dxa"/>
          </w:tcPr>
          <w:p w:rsidR="0084105B" w:rsidRPr="001339D0" w:rsidRDefault="0084105B" w:rsidP="00A2164C">
            <w:pPr>
              <w:pStyle w:val="TableText"/>
            </w:pPr>
          </w:p>
        </w:tc>
        <w:tc>
          <w:tcPr>
            <w:tcW w:w="907" w:type="dxa"/>
          </w:tcPr>
          <w:p w:rsidR="0084105B" w:rsidRDefault="0084105B" w:rsidP="00A2164C">
            <w:pPr>
              <w:pStyle w:val="TableText"/>
              <w:tabs>
                <w:tab w:val="clear" w:pos="624"/>
              </w:tabs>
              <w:rPr>
                <w:rtl/>
              </w:rPr>
            </w:pPr>
          </w:p>
        </w:tc>
        <w:tc>
          <w:tcPr>
            <w:tcW w:w="567" w:type="dxa"/>
          </w:tcPr>
          <w:p w:rsidR="0084105B" w:rsidRDefault="0084105B" w:rsidP="00A2164C">
            <w:pPr>
              <w:pStyle w:val="TableBlock"/>
              <w:tabs>
                <w:tab w:val="clear" w:pos="624"/>
              </w:tabs>
              <w:rPr>
                <w:color w:val="auto"/>
                <w:sz w:val="26"/>
                <w:rtl/>
              </w:rPr>
            </w:pPr>
          </w:p>
        </w:tc>
        <w:tc>
          <w:tcPr>
            <w:tcW w:w="708" w:type="dxa"/>
            <w:gridSpan w:val="2"/>
          </w:tcPr>
          <w:p w:rsidR="0084105B" w:rsidRDefault="0084105B" w:rsidP="00A2164C">
            <w:pPr>
              <w:pStyle w:val="TableBlock"/>
              <w:tabs>
                <w:tab w:val="clear" w:pos="624"/>
              </w:tabs>
              <w:rPr>
                <w:color w:val="auto"/>
                <w:sz w:val="26"/>
                <w:rtl/>
              </w:rPr>
            </w:pPr>
            <w:r>
              <w:rPr>
                <w:rFonts w:hint="cs"/>
                <w:color w:val="auto"/>
                <w:sz w:val="26"/>
                <w:rtl/>
              </w:rPr>
              <w:t>(2)</w:t>
            </w:r>
          </w:p>
        </w:tc>
        <w:tc>
          <w:tcPr>
            <w:tcW w:w="5105" w:type="dxa"/>
            <w:gridSpan w:val="2"/>
          </w:tcPr>
          <w:p w:rsidR="0084105B" w:rsidRDefault="0084105B" w:rsidP="00B31E02">
            <w:pPr>
              <w:pStyle w:val="TableBlock"/>
              <w:tabs>
                <w:tab w:val="clear" w:pos="624"/>
              </w:tabs>
              <w:rPr>
                <w:color w:val="auto"/>
                <w:sz w:val="26"/>
                <w:rtl/>
              </w:rPr>
            </w:pPr>
            <w:r w:rsidRPr="00B16EE7">
              <w:rPr>
                <w:rFonts w:hint="cs"/>
                <w:color w:val="auto"/>
                <w:sz w:val="26"/>
                <w:rtl/>
              </w:rPr>
              <w:t xml:space="preserve">בפסקה (1), במקום "במועד הגשת הבקשה לרישיון לשידורי טלוויזיה" יבוא "במועד ההודעה כי הוא מעוניין </w:t>
            </w:r>
            <w:r w:rsidR="00926327">
              <w:rPr>
                <w:rFonts w:hint="cs"/>
                <w:color w:val="auto"/>
                <w:sz w:val="26"/>
                <w:rtl/>
              </w:rPr>
              <w:t>לקבל</w:t>
            </w:r>
            <w:r w:rsidRPr="00B16EE7">
              <w:rPr>
                <w:rFonts w:hint="cs"/>
                <w:color w:val="auto"/>
                <w:sz w:val="26"/>
                <w:rtl/>
              </w:rPr>
              <w:t xml:space="preserve"> רישיון כאמור בסעיף קטן (ו1)"</w:t>
            </w:r>
            <w:r w:rsidR="001C1AD5">
              <w:rPr>
                <w:rFonts w:hint="cs"/>
                <w:color w:val="auto"/>
                <w:sz w:val="26"/>
                <w:rtl/>
              </w:rPr>
              <w:t>;</w:t>
            </w:r>
            <w:r w:rsidR="00B31E02">
              <w:rPr>
                <w:rFonts w:hint="cs"/>
                <w:color w:val="auto"/>
                <w:sz w:val="26"/>
                <w:rtl/>
              </w:rPr>
              <w:t xml:space="preserve"> המילים "בתוך שש שנים ממועד תחילת תוקפו של הרישיון"</w:t>
            </w:r>
            <w:r w:rsidR="00B31E02">
              <w:rPr>
                <w:color w:val="auto"/>
                <w:sz w:val="26"/>
                <w:rtl/>
              </w:rPr>
              <w:t>–</w:t>
            </w:r>
            <w:r w:rsidR="00B31E02">
              <w:rPr>
                <w:rFonts w:hint="cs"/>
                <w:color w:val="auto"/>
                <w:sz w:val="26"/>
                <w:rtl/>
              </w:rPr>
              <w:t xml:space="preserve"> יימחקו</w:t>
            </w:r>
            <w:r w:rsidR="00164E21" w:rsidRPr="00164E21">
              <w:rPr>
                <w:color w:val="auto"/>
                <w:sz w:val="26"/>
                <w:rtl/>
              </w:rPr>
              <w:t>;</w:t>
            </w:r>
          </w:p>
        </w:tc>
      </w:tr>
      <w:tr w:rsidR="00926327" w:rsidTr="001A7D83">
        <w:trPr>
          <w:cantSplit/>
          <w:trHeight w:val="60"/>
        </w:trPr>
        <w:tc>
          <w:tcPr>
            <w:tcW w:w="1871" w:type="dxa"/>
          </w:tcPr>
          <w:p w:rsidR="00926327" w:rsidRPr="00CD7EC9" w:rsidRDefault="00926327" w:rsidP="00A2164C">
            <w:pPr>
              <w:pStyle w:val="TableSideHeading"/>
            </w:pPr>
          </w:p>
        </w:tc>
        <w:tc>
          <w:tcPr>
            <w:tcW w:w="624" w:type="dxa"/>
          </w:tcPr>
          <w:p w:rsidR="00926327" w:rsidRPr="001339D0" w:rsidRDefault="00926327" w:rsidP="00A2164C">
            <w:pPr>
              <w:pStyle w:val="TableText"/>
            </w:pPr>
          </w:p>
        </w:tc>
        <w:tc>
          <w:tcPr>
            <w:tcW w:w="907" w:type="dxa"/>
          </w:tcPr>
          <w:p w:rsidR="00926327" w:rsidRDefault="00926327" w:rsidP="00A2164C">
            <w:pPr>
              <w:pStyle w:val="TableText"/>
              <w:tabs>
                <w:tab w:val="clear" w:pos="624"/>
              </w:tabs>
              <w:rPr>
                <w:rtl/>
              </w:rPr>
            </w:pPr>
          </w:p>
        </w:tc>
        <w:tc>
          <w:tcPr>
            <w:tcW w:w="567" w:type="dxa"/>
          </w:tcPr>
          <w:p w:rsidR="00926327" w:rsidRDefault="00926327" w:rsidP="00A2164C">
            <w:pPr>
              <w:pStyle w:val="TableBlock"/>
              <w:tabs>
                <w:tab w:val="clear" w:pos="624"/>
              </w:tabs>
              <w:rPr>
                <w:color w:val="auto"/>
                <w:sz w:val="26"/>
                <w:rtl/>
              </w:rPr>
            </w:pPr>
          </w:p>
        </w:tc>
        <w:tc>
          <w:tcPr>
            <w:tcW w:w="708" w:type="dxa"/>
            <w:gridSpan w:val="2"/>
          </w:tcPr>
          <w:p w:rsidR="00926327" w:rsidRDefault="00926327" w:rsidP="00A2164C">
            <w:pPr>
              <w:pStyle w:val="TableBlock"/>
              <w:tabs>
                <w:tab w:val="clear" w:pos="624"/>
              </w:tabs>
              <w:rPr>
                <w:color w:val="auto"/>
                <w:sz w:val="26"/>
                <w:rtl/>
              </w:rPr>
            </w:pPr>
            <w:r>
              <w:rPr>
                <w:rFonts w:hint="cs"/>
                <w:color w:val="auto"/>
                <w:sz w:val="26"/>
                <w:rtl/>
              </w:rPr>
              <w:t xml:space="preserve">(3) </w:t>
            </w:r>
          </w:p>
        </w:tc>
        <w:tc>
          <w:tcPr>
            <w:tcW w:w="5105" w:type="dxa"/>
            <w:gridSpan w:val="2"/>
          </w:tcPr>
          <w:p w:rsidR="00926327" w:rsidRPr="00B16EE7" w:rsidRDefault="00926327" w:rsidP="00926327">
            <w:pPr>
              <w:pStyle w:val="TableBlock"/>
              <w:tabs>
                <w:tab w:val="clear" w:pos="624"/>
              </w:tabs>
              <w:rPr>
                <w:color w:val="auto"/>
                <w:sz w:val="26"/>
                <w:rtl/>
              </w:rPr>
            </w:pPr>
            <w:r>
              <w:rPr>
                <w:rFonts w:hint="cs"/>
                <w:color w:val="auto"/>
                <w:sz w:val="26"/>
                <w:rtl/>
              </w:rPr>
              <w:t>פסקה (2) - תימחק</w:t>
            </w:r>
            <w:r w:rsidRPr="00926327">
              <w:rPr>
                <w:color w:val="auto"/>
                <w:sz w:val="26"/>
                <w:rtl/>
              </w:rPr>
              <w:t>;</w:t>
            </w:r>
          </w:p>
        </w:tc>
      </w:tr>
      <w:tr w:rsidR="0084105B" w:rsidTr="001A7D83">
        <w:trPr>
          <w:cantSplit/>
          <w:trHeight w:val="60"/>
        </w:trPr>
        <w:tc>
          <w:tcPr>
            <w:tcW w:w="1871" w:type="dxa"/>
          </w:tcPr>
          <w:p w:rsidR="0084105B" w:rsidRDefault="0084105B" w:rsidP="00A2164C">
            <w:pPr>
              <w:pStyle w:val="TableSideHeading"/>
              <w:rPr>
                <w:highlight w:val="yellow"/>
                <w:rtl/>
              </w:rPr>
            </w:pPr>
          </w:p>
          <w:p w:rsidR="0084105B" w:rsidRPr="00AE47A9" w:rsidRDefault="0084105B" w:rsidP="00A2164C">
            <w:pPr>
              <w:pStyle w:val="TableSideHeading"/>
              <w:rPr>
                <w:highlight w:val="yellow"/>
              </w:rPr>
            </w:pPr>
          </w:p>
        </w:tc>
        <w:tc>
          <w:tcPr>
            <w:tcW w:w="624" w:type="dxa"/>
          </w:tcPr>
          <w:p w:rsidR="0084105B" w:rsidRPr="00AE47A9" w:rsidRDefault="0084105B" w:rsidP="00A2164C">
            <w:pPr>
              <w:pStyle w:val="TableText"/>
              <w:rPr>
                <w:highlight w:val="yellow"/>
              </w:rPr>
            </w:pPr>
          </w:p>
        </w:tc>
        <w:tc>
          <w:tcPr>
            <w:tcW w:w="907" w:type="dxa"/>
          </w:tcPr>
          <w:p w:rsidR="0084105B" w:rsidRPr="00AE47A9" w:rsidRDefault="0084105B" w:rsidP="00A2164C">
            <w:pPr>
              <w:pStyle w:val="TableText"/>
              <w:tabs>
                <w:tab w:val="clear" w:pos="624"/>
              </w:tabs>
              <w:rPr>
                <w:highlight w:val="yellow"/>
                <w:rtl/>
              </w:rPr>
            </w:pPr>
          </w:p>
        </w:tc>
        <w:tc>
          <w:tcPr>
            <w:tcW w:w="567" w:type="dxa"/>
          </w:tcPr>
          <w:p w:rsidR="0084105B" w:rsidRPr="00067093" w:rsidRDefault="0084105B" w:rsidP="00A2164C">
            <w:pPr>
              <w:pStyle w:val="TableBlock"/>
              <w:tabs>
                <w:tab w:val="clear" w:pos="624"/>
              </w:tabs>
              <w:rPr>
                <w:color w:val="auto"/>
                <w:sz w:val="26"/>
                <w:rtl/>
              </w:rPr>
            </w:pPr>
          </w:p>
        </w:tc>
        <w:tc>
          <w:tcPr>
            <w:tcW w:w="708" w:type="dxa"/>
            <w:gridSpan w:val="2"/>
          </w:tcPr>
          <w:p w:rsidR="0084105B" w:rsidRPr="00067093" w:rsidRDefault="0084105B" w:rsidP="00375147">
            <w:pPr>
              <w:pStyle w:val="TableBlock"/>
              <w:tabs>
                <w:tab w:val="clear" w:pos="624"/>
              </w:tabs>
              <w:rPr>
                <w:color w:val="auto"/>
                <w:sz w:val="26"/>
                <w:rtl/>
              </w:rPr>
            </w:pPr>
            <w:r w:rsidRPr="00067093">
              <w:rPr>
                <w:rFonts w:hint="cs"/>
                <w:color w:val="auto"/>
                <w:sz w:val="26"/>
                <w:rtl/>
              </w:rPr>
              <w:t>(</w:t>
            </w:r>
            <w:r w:rsidR="00375147">
              <w:rPr>
                <w:rFonts w:hint="cs"/>
                <w:color w:val="auto"/>
                <w:sz w:val="26"/>
                <w:rtl/>
              </w:rPr>
              <w:t>4</w:t>
            </w:r>
            <w:r w:rsidRPr="00067093">
              <w:rPr>
                <w:rFonts w:hint="cs"/>
                <w:color w:val="auto"/>
                <w:sz w:val="26"/>
                <w:rtl/>
              </w:rPr>
              <w:t xml:space="preserve">) </w:t>
            </w:r>
          </w:p>
        </w:tc>
        <w:tc>
          <w:tcPr>
            <w:tcW w:w="5105" w:type="dxa"/>
            <w:gridSpan w:val="2"/>
          </w:tcPr>
          <w:p w:rsidR="0084105B" w:rsidRPr="00067093" w:rsidRDefault="0084105B" w:rsidP="00A2164C">
            <w:pPr>
              <w:pStyle w:val="TableBlock"/>
              <w:rPr>
                <w:color w:val="auto"/>
                <w:sz w:val="26"/>
                <w:rtl/>
              </w:rPr>
            </w:pPr>
            <w:r w:rsidRPr="00067093">
              <w:rPr>
                <w:color w:val="auto"/>
                <w:sz w:val="26"/>
                <w:rtl/>
              </w:rPr>
              <w:t>אחרי פסקה (3) יבוא:</w:t>
            </w:r>
          </w:p>
          <w:p w:rsidR="0084105B" w:rsidRPr="00067093" w:rsidRDefault="0084105B" w:rsidP="00FA451A">
            <w:pPr>
              <w:pStyle w:val="TableBlock"/>
              <w:tabs>
                <w:tab w:val="clear" w:pos="624"/>
              </w:tabs>
              <w:rPr>
                <w:color w:val="auto"/>
                <w:sz w:val="26"/>
                <w:rtl/>
              </w:rPr>
            </w:pPr>
            <w:r w:rsidRPr="00067093">
              <w:rPr>
                <w:color w:val="auto"/>
                <w:sz w:val="26"/>
                <w:rtl/>
              </w:rPr>
              <w:t>"(4) לעניין התחייבויות בתחום התוכן, שלא קיים בעל זיכיון בתקופה שאחרי יום תחילתו של תיקון</w:t>
            </w:r>
            <w:r w:rsidRPr="00067093">
              <w:rPr>
                <w:rFonts w:hint="cs"/>
                <w:color w:val="auto"/>
                <w:sz w:val="26"/>
                <w:rtl/>
              </w:rPr>
              <w:t xml:space="preserve"> מס'</w:t>
            </w:r>
            <w:r w:rsidRPr="00067093">
              <w:rPr>
                <w:color w:val="auto"/>
                <w:sz w:val="26"/>
                <w:rtl/>
              </w:rPr>
              <w:t xml:space="preserve"> 37</w:t>
            </w:r>
            <w:r w:rsidRPr="00067093">
              <w:rPr>
                <w:rFonts w:hint="cs"/>
                <w:color w:val="auto"/>
                <w:sz w:val="26"/>
                <w:rtl/>
              </w:rPr>
              <w:t xml:space="preserve"> ועד למועד קבלת הרישיון, שאינן נובעות </w:t>
            </w:r>
            <w:r>
              <w:rPr>
                <w:rFonts w:hint="cs"/>
                <w:color w:val="auto"/>
                <w:sz w:val="26"/>
                <w:rtl/>
              </w:rPr>
              <w:t xml:space="preserve">מהפרש </w:t>
            </w:r>
            <w:r w:rsidRPr="00067093">
              <w:rPr>
                <w:rFonts w:hint="cs"/>
                <w:color w:val="auto"/>
                <w:sz w:val="26"/>
                <w:rtl/>
              </w:rPr>
              <w:t>הכנסה</w:t>
            </w:r>
            <w:r w:rsidR="00DD0FED">
              <w:rPr>
                <w:rFonts w:hint="cs"/>
                <w:color w:val="auto"/>
                <w:sz w:val="26"/>
                <w:rtl/>
              </w:rPr>
              <w:t xml:space="preserve"> </w:t>
            </w:r>
            <w:r w:rsidRPr="00067093">
              <w:rPr>
                <w:color w:val="auto"/>
                <w:sz w:val="26"/>
                <w:rtl/>
              </w:rPr>
              <w:t xml:space="preserve">– בעל הזיכיון מסר למועצה במועד </w:t>
            </w:r>
            <w:r w:rsidRPr="00067093">
              <w:rPr>
                <w:rFonts w:hint="cs"/>
                <w:color w:val="auto"/>
                <w:sz w:val="26"/>
                <w:rtl/>
              </w:rPr>
              <w:t>הודעתו</w:t>
            </w:r>
            <w:r w:rsidRPr="00067093">
              <w:rPr>
                <w:color w:val="auto"/>
                <w:sz w:val="26"/>
                <w:rtl/>
              </w:rPr>
              <w:t xml:space="preserve"> כי הוא מעוניין </w:t>
            </w:r>
            <w:r w:rsidR="00926327">
              <w:rPr>
                <w:rFonts w:hint="cs"/>
                <w:color w:val="auto"/>
                <w:sz w:val="26"/>
                <w:rtl/>
              </w:rPr>
              <w:t>לקבל</w:t>
            </w:r>
            <w:r w:rsidRPr="00067093">
              <w:rPr>
                <w:color w:val="auto"/>
                <w:sz w:val="26"/>
                <w:rtl/>
              </w:rPr>
              <w:t xml:space="preserve"> רישיון כאמור בסעיף קטן (ו1)</w:t>
            </w:r>
            <w:r w:rsidRPr="00067093">
              <w:rPr>
                <w:rFonts w:hint="cs"/>
                <w:color w:val="auto"/>
                <w:sz w:val="26"/>
                <w:rtl/>
              </w:rPr>
              <w:t xml:space="preserve">, </w:t>
            </w:r>
            <w:r w:rsidRPr="00067093">
              <w:rPr>
                <w:color w:val="auto"/>
                <w:sz w:val="26"/>
                <w:rtl/>
              </w:rPr>
              <w:t xml:space="preserve">תכנית מפורטת הכוללת שלבי פעולה להשלמה בתוך שנה ממועד תחילת </w:t>
            </w:r>
            <w:r w:rsidR="00926327">
              <w:rPr>
                <w:rFonts w:hint="cs"/>
                <w:color w:val="auto"/>
                <w:sz w:val="26"/>
                <w:rtl/>
              </w:rPr>
              <w:t xml:space="preserve">תוקפו של </w:t>
            </w:r>
            <w:r w:rsidRPr="00067093">
              <w:rPr>
                <w:color w:val="auto"/>
                <w:sz w:val="26"/>
                <w:rtl/>
              </w:rPr>
              <w:t>הרישיון</w:t>
            </w:r>
            <w:r w:rsidR="00FA451A">
              <w:rPr>
                <w:rFonts w:hint="cs"/>
                <w:color w:val="auto"/>
                <w:sz w:val="26"/>
                <w:rtl/>
              </w:rPr>
              <w:t>.".</w:t>
            </w:r>
          </w:p>
        </w:tc>
      </w:tr>
      <w:tr w:rsidR="0084105B" w:rsidTr="001A7D83">
        <w:trPr>
          <w:cantSplit/>
          <w:trHeight w:val="60"/>
        </w:trPr>
        <w:tc>
          <w:tcPr>
            <w:tcW w:w="1871" w:type="dxa"/>
          </w:tcPr>
          <w:p w:rsidR="0084105B" w:rsidRPr="002B4B51" w:rsidRDefault="0084105B" w:rsidP="00A2164C">
            <w:pPr>
              <w:pStyle w:val="TableSideHeading"/>
              <w:rPr>
                <w:rFonts w:cs="Arial"/>
                <w:sz w:val="22"/>
                <w:szCs w:val="22"/>
              </w:rPr>
            </w:pPr>
          </w:p>
        </w:tc>
        <w:tc>
          <w:tcPr>
            <w:tcW w:w="624" w:type="dxa"/>
          </w:tcPr>
          <w:p w:rsidR="0084105B" w:rsidRDefault="0084105B" w:rsidP="00A2164C">
            <w:pPr>
              <w:pStyle w:val="TableText"/>
            </w:pPr>
          </w:p>
        </w:tc>
        <w:tc>
          <w:tcPr>
            <w:tcW w:w="907" w:type="dxa"/>
          </w:tcPr>
          <w:p w:rsidR="0084105B" w:rsidRDefault="0084105B" w:rsidP="00A2164C">
            <w:pPr>
              <w:pStyle w:val="TableText"/>
            </w:pPr>
            <w:r>
              <w:rPr>
                <w:rFonts w:hint="cs"/>
                <w:rtl/>
              </w:rPr>
              <w:t>(ד)</w:t>
            </w:r>
          </w:p>
        </w:tc>
        <w:tc>
          <w:tcPr>
            <w:tcW w:w="6380" w:type="dxa"/>
            <w:gridSpan w:val="5"/>
          </w:tcPr>
          <w:p w:rsidR="0084105B" w:rsidRPr="007A53D9" w:rsidRDefault="0084105B" w:rsidP="00A2164C">
            <w:pPr>
              <w:pStyle w:val="TableBlock"/>
              <w:spacing w:line="240" w:lineRule="auto"/>
              <w:rPr>
                <w:color w:val="auto"/>
                <w:sz w:val="26"/>
                <w:rtl/>
              </w:rPr>
            </w:pPr>
            <w:r>
              <w:rPr>
                <w:rFonts w:hint="cs"/>
                <w:color w:val="auto"/>
                <w:sz w:val="26"/>
                <w:rtl/>
              </w:rPr>
              <w:t xml:space="preserve">אחרי </w:t>
            </w:r>
            <w:r w:rsidRPr="007A53D9">
              <w:rPr>
                <w:color w:val="auto"/>
                <w:sz w:val="26"/>
                <w:rtl/>
              </w:rPr>
              <w:t>סעיף קטן (</w:t>
            </w:r>
            <w:r>
              <w:rPr>
                <w:rFonts w:hint="cs"/>
                <w:color w:val="auto"/>
                <w:sz w:val="26"/>
                <w:rtl/>
              </w:rPr>
              <w:t>ו</w:t>
            </w:r>
            <w:r w:rsidRPr="007A53D9">
              <w:rPr>
                <w:color w:val="auto"/>
                <w:sz w:val="26"/>
                <w:rtl/>
              </w:rPr>
              <w:t>)</w:t>
            </w:r>
            <w:r>
              <w:rPr>
                <w:rFonts w:hint="cs"/>
                <w:color w:val="auto"/>
                <w:sz w:val="26"/>
                <w:rtl/>
              </w:rPr>
              <w:t xml:space="preserve"> יבוא: </w:t>
            </w:r>
          </w:p>
        </w:tc>
      </w:tr>
      <w:tr w:rsidR="0084105B" w:rsidTr="00F108D4">
        <w:trPr>
          <w:cantSplit/>
          <w:trHeight w:val="60"/>
        </w:trPr>
        <w:tc>
          <w:tcPr>
            <w:tcW w:w="1871" w:type="dxa"/>
          </w:tcPr>
          <w:p w:rsidR="0084105B" w:rsidRDefault="0084105B">
            <w:pPr>
              <w:pStyle w:val="TableSideHeading"/>
            </w:pPr>
          </w:p>
        </w:tc>
        <w:tc>
          <w:tcPr>
            <w:tcW w:w="624" w:type="dxa"/>
          </w:tcPr>
          <w:p w:rsidR="0084105B" w:rsidRDefault="0084105B">
            <w:pPr>
              <w:pStyle w:val="TableText"/>
            </w:pPr>
          </w:p>
        </w:tc>
        <w:tc>
          <w:tcPr>
            <w:tcW w:w="907" w:type="dxa"/>
          </w:tcPr>
          <w:p w:rsidR="0084105B" w:rsidRDefault="0084105B">
            <w:pPr>
              <w:pStyle w:val="TableText"/>
            </w:pPr>
          </w:p>
        </w:tc>
        <w:tc>
          <w:tcPr>
            <w:tcW w:w="567" w:type="dxa"/>
          </w:tcPr>
          <w:p w:rsidR="0084105B" w:rsidRDefault="0084105B">
            <w:pPr>
              <w:pStyle w:val="TableText"/>
            </w:pPr>
            <w:r>
              <w:rPr>
                <w:rFonts w:hint="cs"/>
                <w:rtl/>
              </w:rPr>
              <w:t>"(ו1)</w:t>
            </w:r>
          </w:p>
        </w:tc>
        <w:tc>
          <w:tcPr>
            <w:tcW w:w="5813" w:type="dxa"/>
            <w:gridSpan w:val="4"/>
          </w:tcPr>
          <w:p w:rsidR="0084105B" w:rsidRDefault="0084105B" w:rsidP="008F71C2">
            <w:pPr>
              <w:pStyle w:val="TableBlock"/>
            </w:pPr>
            <w:r w:rsidRPr="00E23058">
              <w:rPr>
                <w:rtl/>
              </w:rPr>
              <w:t xml:space="preserve">בעל זיכיון יודיע למועצה בתוך 14 ימים מיום </w:t>
            </w:r>
            <w:r w:rsidR="008F71C2">
              <w:rPr>
                <w:rFonts w:hint="cs"/>
                <w:rtl/>
              </w:rPr>
              <w:t xml:space="preserve">התחילה </w:t>
            </w:r>
            <w:r w:rsidRPr="00E23058">
              <w:rPr>
                <w:rtl/>
              </w:rPr>
              <w:t xml:space="preserve">אם הוא מעוניין </w:t>
            </w:r>
            <w:r w:rsidR="00926327">
              <w:rPr>
                <w:rFonts w:hint="cs"/>
                <w:rtl/>
              </w:rPr>
              <w:t>לקבל</w:t>
            </w:r>
            <w:r w:rsidRPr="00E23058">
              <w:rPr>
                <w:rtl/>
              </w:rPr>
              <w:t xml:space="preserve"> רישיון לפי סעיף קטן זה</w:t>
            </w:r>
            <w:r w:rsidR="00926327" w:rsidRPr="00926327">
              <w:rPr>
                <w:rtl/>
              </w:rPr>
              <w:t>;</w:t>
            </w:r>
            <w:r w:rsidRPr="00E23058">
              <w:rPr>
                <w:rtl/>
              </w:rPr>
              <w:t xml:space="preserve"> הודיע בעל זיכיון כאמור, תעניק לו המועצה רישיון לשידורי טלוויזיה, ובלבד שמצאה כי לא חדלו להתקיים בו אחד או יותר מן התנאים המנויים בחוק זה שהיו מזכים אותו להשתתף במכרז או להיות בעל זיכיון בערוץ 2</w:t>
            </w:r>
            <w:r w:rsidR="0055544F">
              <w:rPr>
                <w:rFonts w:hint="cs"/>
                <w:rtl/>
              </w:rPr>
              <w:t>,</w:t>
            </w:r>
            <w:r>
              <w:rPr>
                <w:rFonts w:hint="cs"/>
                <w:rtl/>
              </w:rPr>
              <w:t xml:space="preserve"> </w:t>
            </w:r>
            <w:r w:rsidR="00397AFE">
              <w:rPr>
                <w:rFonts w:hint="cs"/>
                <w:rtl/>
              </w:rPr>
              <w:t>כי מתקיימים בו התנאים לקבלת רישיון לפי סעיפים</w:t>
            </w:r>
            <w:r>
              <w:rPr>
                <w:rFonts w:hint="cs"/>
                <w:rtl/>
              </w:rPr>
              <w:t xml:space="preserve"> 33א</w:t>
            </w:r>
            <w:r w:rsidR="00397AFE">
              <w:rPr>
                <w:rFonts w:hint="cs"/>
                <w:rtl/>
              </w:rPr>
              <w:t>(א) ו</w:t>
            </w:r>
            <w:r w:rsidR="00397AFE">
              <w:rPr>
                <w:rtl/>
              </w:rPr>
              <w:t>–</w:t>
            </w:r>
            <w:r w:rsidR="00397AFE">
              <w:rPr>
                <w:rFonts w:hint="cs"/>
                <w:rtl/>
              </w:rPr>
              <w:t xml:space="preserve"> (ג)</w:t>
            </w:r>
            <w:r>
              <w:rPr>
                <w:rFonts w:hint="cs"/>
                <w:rtl/>
              </w:rPr>
              <w:t>, בשינויים המחויבים</w:t>
            </w:r>
            <w:r w:rsidR="0055544F">
              <w:rPr>
                <w:rFonts w:hint="cs"/>
                <w:rtl/>
              </w:rPr>
              <w:t>,</w:t>
            </w:r>
            <w:r w:rsidRPr="00E105B9">
              <w:rPr>
                <w:rtl/>
              </w:rPr>
              <w:t xml:space="preserve"> </w:t>
            </w:r>
            <w:r w:rsidRPr="00E23058">
              <w:rPr>
                <w:rtl/>
              </w:rPr>
              <w:t>לא מתקיים בו סייג שהיה פוסל אותו מלהשתתף במכרז או מלהיות בעל זיכיון כאמור לפי הוראות חוק זה; אולם לעניין סעיף 41(ב2) לא יראו אותו כבעל זיכיון אחר כהגדרתו בפסקה (9) של הסעיף האמור, ולעניין סעיף 56(א)(1) לא יראו אותו כבעל זיכיון לשידורי טלוויזיה רק בשל כך שהוא בעל זיכיון.</w:t>
            </w:r>
          </w:p>
        </w:tc>
      </w:tr>
      <w:tr w:rsidR="0084105B" w:rsidTr="00F108D4">
        <w:trPr>
          <w:cantSplit/>
          <w:trHeight w:val="60"/>
        </w:trPr>
        <w:tc>
          <w:tcPr>
            <w:tcW w:w="1871" w:type="dxa"/>
          </w:tcPr>
          <w:p w:rsidR="0084105B" w:rsidRDefault="0084105B">
            <w:pPr>
              <w:pStyle w:val="TableSideHeading"/>
            </w:pPr>
          </w:p>
        </w:tc>
        <w:tc>
          <w:tcPr>
            <w:tcW w:w="624" w:type="dxa"/>
          </w:tcPr>
          <w:p w:rsidR="0084105B" w:rsidRDefault="0084105B">
            <w:pPr>
              <w:pStyle w:val="TableText"/>
            </w:pPr>
          </w:p>
        </w:tc>
        <w:tc>
          <w:tcPr>
            <w:tcW w:w="907" w:type="dxa"/>
          </w:tcPr>
          <w:p w:rsidR="0084105B" w:rsidRDefault="0084105B">
            <w:pPr>
              <w:pStyle w:val="TableText"/>
            </w:pPr>
          </w:p>
        </w:tc>
        <w:tc>
          <w:tcPr>
            <w:tcW w:w="567" w:type="dxa"/>
          </w:tcPr>
          <w:p w:rsidR="0084105B" w:rsidRDefault="00C83A12">
            <w:pPr>
              <w:pStyle w:val="TableText"/>
            </w:pPr>
            <w:r>
              <w:rPr>
                <w:rFonts w:hint="cs"/>
                <w:color w:val="auto"/>
                <w:sz w:val="26"/>
                <w:rtl/>
              </w:rPr>
              <w:t>(ו2)</w:t>
            </w:r>
          </w:p>
        </w:tc>
        <w:tc>
          <w:tcPr>
            <w:tcW w:w="5813" w:type="dxa"/>
            <w:gridSpan w:val="4"/>
          </w:tcPr>
          <w:p w:rsidR="0084105B" w:rsidRDefault="00C83A12" w:rsidP="00454DE1">
            <w:pPr>
              <w:pStyle w:val="TableBlock"/>
            </w:pPr>
            <w:r>
              <w:rPr>
                <w:rFonts w:hint="cs"/>
                <w:color w:val="auto"/>
                <w:sz w:val="26"/>
                <w:rtl/>
              </w:rPr>
              <w:t xml:space="preserve">תחילת תקופת תוקפו של רישיון שניתן לפי סעיף קטן (ו1), כאמור בסעיף 34(ה), תהיה החל מיום </w:t>
            </w:r>
            <w:r w:rsidR="00454DE1">
              <w:rPr>
                <w:rFonts w:hint="cs"/>
                <w:color w:val="auto"/>
                <w:sz w:val="26"/>
                <w:rtl/>
              </w:rPr>
              <w:t>י"ב</w:t>
            </w:r>
            <w:r w:rsidRPr="007A53D9">
              <w:rPr>
                <w:color w:val="auto"/>
                <w:sz w:val="26"/>
                <w:rtl/>
              </w:rPr>
              <w:t xml:space="preserve"> ב</w:t>
            </w:r>
            <w:r w:rsidR="00454DE1">
              <w:rPr>
                <w:rFonts w:hint="cs"/>
                <w:color w:val="auto"/>
                <w:sz w:val="26"/>
                <w:rtl/>
              </w:rPr>
              <w:t>ניסן</w:t>
            </w:r>
            <w:r w:rsidRPr="007A53D9">
              <w:rPr>
                <w:color w:val="auto"/>
                <w:sz w:val="26"/>
                <w:rtl/>
              </w:rPr>
              <w:t xml:space="preserve"> </w:t>
            </w:r>
            <w:proofErr w:type="spellStart"/>
            <w:r w:rsidRPr="007A53D9">
              <w:rPr>
                <w:color w:val="auto"/>
                <w:sz w:val="26"/>
                <w:rtl/>
              </w:rPr>
              <w:t>התשע"ה</w:t>
            </w:r>
            <w:proofErr w:type="spellEnd"/>
            <w:r w:rsidRPr="007A53D9">
              <w:rPr>
                <w:color w:val="auto"/>
                <w:sz w:val="26"/>
                <w:rtl/>
              </w:rPr>
              <w:t xml:space="preserve"> (1 ב</w:t>
            </w:r>
            <w:r w:rsidR="00454DE1">
              <w:rPr>
                <w:rFonts w:hint="cs"/>
                <w:color w:val="auto"/>
                <w:sz w:val="26"/>
                <w:rtl/>
              </w:rPr>
              <w:t>אפריל</w:t>
            </w:r>
            <w:r w:rsidRPr="007A53D9">
              <w:rPr>
                <w:color w:val="auto"/>
                <w:sz w:val="26"/>
                <w:rtl/>
              </w:rPr>
              <w:t xml:space="preserve"> 201</w:t>
            </w:r>
            <w:r>
              <w:rPr>
                <w:rFonts w:hint="cs"/>
                <w:color w:val="auto"/>
                <w:sz w:val="26"/>
                <w:rtl/>
              </w:rPr>
              <w:t>5</w:t>
            </w:r>
            <w:r w:rsidRPr="007A53D9">
              <w:rPr>
                <w:color w:val="auto"/>
                <w:sz w:val="26"/>
                <w:rtl/>
              </w:rPr>
              <w:t>)</w:t>
            </w:r>
            <w:r>
              <w:rPr>
                <w:rFonts w:hint="cs"/>
                <w:color w:val="auto"/>
                <w:sz w:val="26"/>
                <w:rtl/>
              </w:rPr>
              <w:t>.</w:t>
            </w:r>
          </w:p>
        </w:tc>
      </w:tr>
      <w:tr w:rsidR="00C83A12" w:rsidTr="00F108D4">
        <w:trPr>
          <w:cantSplit/>
          <w:trHeight w:val="60"/>
        </w:trPr>
        <w:tc>
          <w:tcPr>
            <w:tcW w:w="1871" w:type="dxa"/>
          </w:tcPr>
          <w:p w:rsidR="00C83A12" w:rsidRDefault="00C83A12">
            <w:pPr>
              <w:pStyle w:val="TableSideHeading"/>
            </w:pPr>
          </w:p>
        </w:tc>
        <w:tc>
          <w:tcPr>
            <w:tcW w:w="624" w:type="dxa"/>
          </w:tcPr>
          <w:p w:rsidR="00C83A12" w:rsidRDefault="00C83A12">
            <w:pPr>
              <w:pStyle w:val="TableText"/>
            </w:pPr>
          </w:p>
        </w:tc>
        <w:tc>
          <w:tcPr>
            <w:tcW w:w="907" w:type="dxa"/>
          </w:tcPr>
          <w:p w:rsidR="00C83A12" w:rsidRDefault="00C83A12">
            <w:pPr>
              <w:pStyle w:val="TableText"/>
            </w:pPr>
          </w:p>
        </w:tc>
        <w:tc>
          <w:tcPr>
            <w:tcW w:w="567" w:type="dxa"/>
          </w:tcPr>
          <w:p w:rsidR="00C83A12" w:rsidRDefault="00C83A12">
            <w:pPr>
              <w:pStyle w:val="TableText"/>
            </w:pPr>
            <w:r>
              <w:rPr>
                <w:rFonts w:hint="cs"/>
                <w:rtl/>
              </w:rPr>
              <w:t>(ו3</w:t>
            </w:r>
            <w:r w:rsidRPr="007E5A3D">
              <w:rPr>
                <w:rtl/>
              </w:rPr>
              <w:t>)</w:t>
            </w:r>
          </w:p>
        </w:tc>
        <w:tc>
          <w:tcPr>
            <w:tcW w:w="5813" w:type="dxa"/>
            <w:gridSpan w:val="4"/>
          </w:tcPr>
          <w:p w:rsidR="00C83A12" w:rsidRDefault="00C83A12" w:rsidP="00D66853">
            <w:pPr>
              <w:pStyle w:val="TableBlock"/>
            </w:pPr>
            <w:r w:rsidRPr="007E5A3D">
              <w:rPr>
                <w:rtl/>
              </w:rPr>
              <w:t xml:space="preserve">בעל זיכיון </w:t>
            </w:r>
            <w:r w:rsidR="00035FF6">
              <w:rPr>
                <w:rFonts w:hint="cs"/>
                <w:rtl/>
              </w:rPr>
              <w:t xml:space="preserve">שהודיע למועצה כי הוא מעונין לקבל רישיון </w:t>
            </w:r>
            <w:r w:rsidR="004A24D6">
              <w:rPr>
                <w:rFonts w:hint="cs"/>
                <w:rtl/>
              </w:rPr>
              <w:t xml:space="preserve">כאמור בסעיף (ו1), </w:t>
            </w:r>
            <w:r w:rsidRPr="007E5A3D">
              <w:rPr>
                <w:rtl/>
              </w:rPr>
              <w:t xml:space="preserve">יודיע לרשות, </w:t>
            </w:r>
            <w:r w:rsidR="004A24D6">
              <w:rPr>
                <w:rFonts w:hint="cs"/>
                <w:rtl/>
              </w:rPr>
              <w:t>לא יאוחר מ-</w:t>
            </w:r>
            <w:r w:rsidRPr="007E5A3D">
              <w:rPr>
                <w:rtl/>
              </w:rPr>
              <w:t xml:space="preserve"> 14 ימים מיום הת</w:t>
            </w:r>
            <w:r w:rsidR="00D66853">
              <w:rPr>
                <w:rFonts w:hint="cs"/>
                <w:rtl/>
              </w:rPr>
              <w:t>חילה</w:t>
            </w:r>
            <w:r w:rsidRPr="007E5A3D">
              <w:rPr>
                <w:rtl/>
              </w:rPr>
              <w:t xml:space="preserve">, באיזה אפיק חדש כהגדרתו בסעיף 37ד הוא </w:t>
            </w:r>
            <w:r w:rsidR="004A24D6">
              <w:rPr>
                <w:rFonts w:hint="cs"/>
                <w:rtl/>
              </w:rPr>
              <w:t>מ</w:t>
            </w:r>
            <w:r w:rsidRPr="007E5A3D">
              <w:rPr>
                <w:rtl/>
              </w:rPr>
              <w:t>בקש לעשות שימוש עם כניסתו לתוקף של הרישיון שיינתן לו; ביקשו שני בעלי הזיכיונות לעשות שימוש באותו אפיק חדש, תערוך הרשות תחרות ביניהם, ויחולו הוראות סעיף 37ד(ב)(1), בשינויים המחויבים</w:t>
            </w:r>
            <w:r w:rsidR="00926327" w:rsidRPr="00926327">
              <w:rPr>
                <w:rtl/>
              </w:rPr>
              <w:t>;</w:t>
            </w:r>
            <w:r w:rsidRPr="007E5A3D">
              <w:rPr>
                <w:rtl/>
              </w:rPr>
              <w:t xml:space="preserve"> לא ביקשו שניהם לעשות שימוש באותו אפיק חדש, תורה המועצה, על האפיק שבו יעשה שימוש מי שיקבל רישיון לפי סעיף קטן (ו1), בהתחשב בבקשתו, ותקבע, באישור השר ושר האוצר, סכום חד-פעמי שישלם בעד השימוש באפיק.</w:t>
            </w:r>
          </w:p>
        </w:tc>
      </w:tr>
      <w:tr w:rsidR="00C83A12" w:rsidTr="00F108D4">
        <w:trPr>
          <w:cantSplit/>
          <w:trHeight w:val="60"/>
        </w:trPr>
        <w:tc>
          <w:tcPr>
            <w:tcW w:w="1871" w:type="dxa"/>
          </w:tcPr>
          <w:p w:rsidR="00C83A12" w:rsidRDefault="00C83A12">
            <w:pPr>
              <w:pStyle w:val="TableSideHeading"/>
            </w:pPr>
          </w:p>
        </w:tc>
        <w:tc>
          <w:tcPr>
            <w:tcW w:w="624" w:type="dxa"/>
          </w:tcPr>
          <w:p w:rsidR="00C83A12" w:rsidRDefault="00C83A12">
            <w:pPr>
              <w:pStyle w:val="TableText"/>
            </w:pPr>
          </w:p>
        </w:tc>
        <w:tc>
          <w:tcPr>
            <w:tcW w:w="907" w:type="dxa"/>
          </w:tcPr>
          <w:p w:rsidR="00C83A12" w:rsidRDefault="00C83A12">
            <w:pPr>
              <w:pStyle w:val="TableText"/>
            </w:pPr>
          </w:p>
        </w:tc>
        <w:tc>
          <w:tcPr>
            <w:tcW w:w="567" w:type="dxa"/>
          </w:tcPr>
          <w:p w:rsidR="00C83A12" w:rsidRDefault="00C83A12">
            <w:pPr>
              <w:pStyle w:val="TableText"/>
            </w:pPr>
            <w:r>
              <w:rPr>
                <w:rFonts w:hint="cs"/>
                <w:rtl/>
              </w:rPr>
              <w:t>(ו4)</w:t>
            </w:r>
          </w:p>
        </w:tc>
        <w:tc>
          <w:tcPr>
            <w:tcW w:w="5813" w:type="dxa"/>
            <w:gridSpan w:val="4"/>
          </w:tcPr>
          <w:p w:rsidR="00C83A12" w:rsidRDefault="00C83A12" w:rsidP="0055544F">
            <w:pPr>
              <w:pStyle w:val="TableBlock"/>
            </w:pPr>
            <w:r>
              <w:rPr>
                <w:rFonts w:hint="cs"/>
                <w:rtl/>
              </w:rPr>
              <w:t>בעל זיכיון שהודיע כי הוא</w:t>
            </w:r>
            <w:r>
              <w:rPr>
                <w:rFonts w:hint="cs"/>
                <w:color w:val="auto"/>
                <w:sz w:val="26"/>
                <w:rtl/>
              </w:rPr>
              <w:t xml:space="preserve"> מעוניין לקבל רישיון </w:t>
            </w:r>
            <w:r>
              <w:rPr>
                <w:rFonts w:hint="cs"/>
                <w:rtl/>
              </w:rPr>
              <w:t xml:space="preserve">לפי סעיף קטן (ו1), יודיע לרשות, </w:t>
            </w:r>
            <w:r>
              <w:rPr>
                <w:rFonts w:hint="cs"/>
                <w:color w:val="auto"/>
                <w:sz w:val="26"/>
                <w:rtl/>
              </w:rPr>
              <w:t>עד המועד הקבוע בסעיף קטן (ו3)</w:t>
            </w:r>
            <w:r>
              <w:rPr>
                <w:rFonts w:hint="cs"/>
                <w:rtl/>
              </w:rPr>
              <w:t>, את האופן שבו ישדר שידורי חדשות בשידוריו כבעל רישיון</w:t>
            </w:r>
            <w:r w:rsidR="0055544F">
              <w:rPr>
                <w:rFonts w:hint="cs"/>
                <w:rtl/>
              </w:rPr>
              <w:t xml:space="preserve"> וכן האם בכוונתו לשדר שידורי חדשות</w:t>
            </w:r>
            <w:r w:rsidR="0055544F">
              <w:rPr>
                <w:rtl/>
              </w:rPr>
              <w:t xml:space="preserve"> </w:t>
            </w:r>
            <w:r w:rsidR="0055544F">
              <w:rPr>
                <w:rFonts w:hint="cs"/>
                <w:rtl/>
              </w:rPr>
              <w:t xml:space="preserve">כאמור, </w:t>
            </w:r>
            <w:r w:rsidR="0055544F" w:rsidRPr="0055544F">
              <w:rPr>
                <w:rtl/>
              </w:rPr>
              <w:t>באמצעות רכישת חברת החדשות של ערוץ 2</w:t>
            </w:r>
            <w:r w:rsidR="0055544F">
              <w:rPr>
                <w:rFonts w:hint="cs"/>
                <w:rtl/>
              </w:rPr>
              <w:t>.</w:t>
            </w:r>
            <w:r w:rsidR="00375147">
              <w:rPr>
                <w:rFonts w:hint="cs"/>
                <w:rtl/>
              </w:rPr>
              <w:t>".</w:t>
            </w:r>
          </w:p>
        </w:tc>
      </w:tr>
      <w:tr w:rsidR="0084105B" w:rsidRPr="000A0689" w:rsidTr="001A7D83">
        <w:trPr>
          <w:cantSplit/>
          <w:trHeight w:val="60"/>
        </w:trPr>
        <w:tc>
          <w:tcPr>
            <w:tcW w:w="1871" w:type="dxa"/>
          </w:tcPr>
          <w:p w:rsidR="0084105B" w:rsidRDefault="0084105B" w:rsidP="00A2164C">
            <w:pPr>
              <w:pStyle w:val="TableSideHeading"/>
              <w:rPr>
                <w:rtl/>
              </w:rPr>
            </w:pPr>
          </w:p>
        </w:tc>
        <w:tc>
          <w:tcPr>
            <w:tcW w:w="624" w:type="dxa"/>
          </w:tcPr>
          <w:p w:rsidR="0084105B" w:rsidRDefault="0084105B" w:rsidP="00A2164C">
            <w:pPr>
              <w:pStyle w:val="TableText"/>
            </w:pPr>
          </w:p>
        </w:tc>
        <w:tc>
          <w:tcPr>
            <w:tcW w:w="907" w:type="dxa"/>
          </w:tcPr>
          <w:p w:rsidR="0084105B" w:rsidRDefault="0084105B" w:rsidP="00A2164C">
            <w:pPr>
              <w:pStyle w:val="TableText"/>
            </w:pPr>
            <w:r>
              <w:rPr>
                <w:rFonts w:hint="cs"/>
                <w:rtl/>
              </w:rPr>
              <w:t>(ה)</w:t>
            </w:r>
          </w:p>
        </w:tc>
        <w:tc>
          <w:tcPr>
            <w:tcW w:w="6380" w:type="dxa"/>
            <w:gridSpan w:val="5"/>
          </w:tcPr>
          <w:p w:rsidR="0084105B" w:rsidRPr="001C1D3A" w:rsidRDefault="0084105B" w:rsidP="004A0AC4">
            <w:pPr>
              <w:pStyle w:val="TableText"/>
              <w:ind w:right="0"/>
              <w:jc w:val="both"/>
              <w:rPr>
                <w:color w:val="auto"/>
                <w:sz w:val="26"/>
                <w:rtl/>
              </w:rPr>
            </w:pPr>
            <w:r>
              <w:rPr>
                <w:rFonts w:hint="cs"/>
                <w:color w:val="auto"/>
                <w:sz w:val="26"/>
                <w:rtl/>
              </w:rPr>
              <w:t>ס</w:t>
            </w:r>
            <w:r w:rsidRPr="001C1D3A">
              <w:rPr>
                <w:rFonts w:hint="cs"/>
                <w:color w:val="auto"/>
                <w:sz w:val="26"/>
                <w:rtl/>
              </w:rPr>
              <w:t xml:space="preserve">עיפים קטנים (ז) עד (י) </w:t>
            </w:r>
            <w:r w:rsidRPr="00085F06">
              <w:rPr>
                <w:color w:val="auto"/>
                <w:sz w:val="26"/>
                <w:rtl/>
              </w:rPr>
              <w:t>–</w:t>
            </w:r>
            <w:r w:rsidRPr="00085F06">
              <w:rPr>
                <w:rFonts w:hint="cs"/>
                <w:color w:val="auto"/>
                <w:sz w:val="26"/>
                <w:rtl/>
              </w:rPr>
              <w:t xml:space="preserve"> יימחקו</w:t>
            </w:r>
            <w:r w:rsidR="004A0AC4" w:rsidRPr="004A0AC4">
              <w:rPr>
                <w:color w:val="auto"/>
                <w:sz w:val="26"/>
                <w:rtl/>
              </w:rPr>
              <w:t>;</w:t>
            </w:r>
            <w:r w:rsidRPr="00085F06">
              <w:rPr>
                <w:rFonts w:hint="cs"/>
                <w:color w:val="auto"/>
                <w:sz w:val="26"/>
                <w:rtl/>
              </w:rPr>
              <w:t xml:space="preserve"> </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A2164C">
            <w:pPr>
              <w:pStyle w:val="TableText"/>
            </w:pPr>
            <w:r>
              <w:rPr>
                <w:rFonts w:hint="cs"/>
                <w:rtl/>
              </w:rPr>
              <w:t xml:space="preserve">(ו) </w:t>
            </w:r>
          </w:p>
        </w:tc>
        <w:tc>
          <w:tcPr>
            <w:tcW w:w="6380" w:type="dxa"/>
            <w:gridSpan w:val="5"/>
          </w:tcPr>
          <w:p w:rsidR="0084105B" w:rsidRPr="007A53D9" w:rsidRDefault="0084105B" w:rsidP="00A2164C">
            <w:pPr>
              <w:pStyle w:val="TableBlock"/>
              <w:tabs>
                <w:tab w:val="clear" w:pos="624"/>
              </w:tabs>
              <w:rPr>
                <w:color w:val="auto"/>
                <w:sz w:val="26"/>
                <w:rtl/>
              </w:rPr>
            </w:pPr>
            <w:r w:rsidRPr="007A53D9">
              <w:rPr>
                <w:color w:val="auto"/>
                <w:sz w:val="26"/>
                <w:rtl/>
              </w:rPr>
              <w:t>בסעיף קטן (יא)</w:t>
            </w:r>
            <w:r>
              <w:rPr>
                <w:rFonts w:hint="cs"/>
                <w:color w:val="auto"/>
                <w:sz w:val="26"/>
                <w:rtl/>
              </w:rPr>
              <w:t xml:space="preserve"> </w:t>
            </w:r>
            <w:r>
              <w:rPr>
                <w:color w:val="auto"/>
                <w:sz w:val="26"/>
                <w:rtl/>
              </w:rPr>
              <w:t>–</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A2164C">
            <w:pPr>
              <w:pStyle w:val="TableText"/>
            </w:pPr>
          </w:p>
        </w:tc>
        <w:tc>
          <w:tcPr>
            <w:tcW w:w="850" w:type="dxa"/>
            <w:gridSpan w:val="2"/>
          </w:tcPr>
          <w:p w:rsidR="0084105B" w:rsidRDefault="0084105B" w:rsidP="00A2164C">
            <w:pPr>
              <w:pStyle w:val="TableText"/>
              <w:tabs>
                <w:tab w:val="clear" w:pos="624"/>
              </w:tabs>
              <w:ind w:right="0"/>
              <w:jc w:val="both"/>
              <w:rPr>
                <w:rtl/>
              </w:rPr>
            </w:pPr>
            <w:r>
              <w:rPr>
                <w:rFonts w:hint="cs"/>
                <w:rtl/>
              </w:rPr>
              <w:t>(1)</w:t>
            </w:r>
          </w:p>
          <w:p w:rsidR="0084105B" w:rsidRDefault="0084105B" w:rsidP="00A2164C">
            <w:pPr>
              <w:pStyle w:val="TableText"/>
              <w:tabs>
                <w:tab w:val="clear" w:pos="624"/>
              </w:tabs>
              <w:ind w:right="0"/>
              <w:jc w:val="both"/>
              <w:rPr>
                <w:rtl/>
              </w:rPr>
            </w:pPr>
          </w:p>
        </w:tc>
        <w:tc>
          <w:tcPr>
            <w:tcW w:w="5530" w:type="dxa"/>
            <w:gridSpan w:val="3"/>
          </w:tcPr>
          <w:p w:rsidR="0084105B" w:rsidRPr="00085F06" w:rsidRDefault="0084105B" w:rsidP="00927886">
            <w:pPr>
              <w:pStyle w:val="TableText"/>
              <w:tabs>
                <w:tab w:val="clear" w:pos="624"/>
              </w:tabs>
              <w:ind w:right="0"/>
              <w:jc w:val="both"/>
            </w:pPr>
            <w:r w:rsidRPr="00085F06">
              <w:rPr>
                <w:rtl/>
              </w:rPr>
              <w:t xml:space="preserve">במקום </w:t>
            </w:r>
            <w:proofErr w:type="spellStart"/>
            <w:r w:rsidRPr="00085F06">
              <w:rPr>
                <w:rtl/>
              </w:rPr>
              <w:t>הרישה</w:t>
            </w:r>
            <w:proofErr w:type="spellEnd"/>
            <w:r w:rsidRPr="00085F06">
              <w:rPr>
                <w:rtl/>
              </w:rPr>
              <w:t xml:space="preserve"> יבוא "הרשות תבצע הערכת שווי של חברת החדשות של ערוץ 2 כאמור בסעיף קטן (יד), ויחולו הוראות אלה:";</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A2164C">
            <w:pPr>
              <w:pStyle w:val="TableText"/>
            </w:pPr>
          </w:p>
        </w:tc>
        <w:tc>
          <w:tcPr>
            <w:tcW w:w="850" w:type="dxa"/>
            <w:gridSpan w:val="2"/>
          </w:tcPr>
          <w:p w:rsidR="0084105B" w:rsidRDefault="0084105B" w:rsidP="00A2164C">
            <w:pPr>
              <w:pStyle w:val="TableText"/>
              <w:tabs>
                <w:tab w:val="clear" w:pos="624"/>
              </w:tabs>
              <w:ind w:right="0"/>
              <w:jc w:val="both"/>
              <w:rPr>
                <w:rtl/>
              </w:rPr>
            </w:pPr>
            <w:r>
              <w:rPr>
                <w:rFonts w:hint="cs"/>
                <w:rtl/>
              </w:rPr>
              <w:t>(2)</w:t>
            </w:r>
          </w:p>
        </w:tc>
        <w:tc>
          <w:tcPr>
            <w:tcW w:w="5530" w:type="dxa"/>
            <w:gridSpan w:val="3"/>
          </w:tcPr>
          <w:p w:rsidR="0084105B" w:rsidRPr="00085F06" w:rsidRDefault="0084105B" w:rsidP="00927886">
            <w:pPr>
              <w:pStyle w:val="TableText"/>
              <w:tabs>
                <w:tab w:val="clear" w:pos="624"/>
              </w:tabs>
              <w:ind w:right="0"/>
              <w:jc w:val="both"/>
              <w:rPr>
                <w:rtl/>
              </w:rPr>
            </w:pPr>
            <w:r w:rsidRPr="00017B1E">
              <w:rPr>
                <w:rtl/>
              </w:rPr>
              <w:t xml:space="preserve">בפסקה (1), במקום </w:t>
            </w:r>
            <w:proofErr w:type="spellStart"/>
            <w:r w:rsidRPr="00017B1E">
              <w:rPr>
                <w:rtl/>
              </w:rPr>
              <w:t>הרישה</w:t>
            </w:r>
            <w:proofErr w:type="spellEnd"/>
            <w:r w:rsidRPr="00017B1E">
              <w:rPr>
                <w:rtl/>
              </w:rPr>
              <w:t xml:space="preserve"> עד המילים "ישלם לרשות" יבוא "מסר בעל זיכיון אחד בלבד הודעה כאמור בסעיף קטן (ו4)(1) ולא הודיע כי הגיע להסכמה עם בעל הזיכיון האחר בדבר סכום התמורה שישלם לו בעד רכישת חלקו בחברת החדשות, לרבות בעד רכישת מניות הרכוש של אחר, ישלם לבעל הזיכיון האחר", ובסופ</w:t>
            </w:r>
            <w:r w:rsidR="00926327">
              <w:rPr>
                <w:rFonts w:hint="cs"/>
                <w:rtl/>
              </w:rPr>
              <w:t>ה</w:t>
            </w:r>
            <w:r w:rsidRPr="00017B1E">
              <w:rPr>
                <w:rtl/>
              </w:rPr>
              <w:t xml:space="preserve"> יבוא "ובעל הזיכיון האחר </w:t>
            </w:r>
            <w:r w:rsidRPr="00922AE0">
              <w:rPr>
                <w:rtl/>
              </w:rPr>
              <w:t>יקים ויפעיל</w:t>
            </w:r>
            <w:r w:rsidRPr="00017B1E">
              <w:rPr>
                <w:rtl/>
              </w:rPr>
              <w:t xml:space="preserve"> חברת חדשות כאמור בחוק זה</w:t>
            </w:r>
            <w:r w:rsidR="00D67C12" w:rsidRPr="00D67C12">
              <w:rPr>
                <w:rtl/>
              </w:rPr>
              <w:t>;</w:t>
            </w:r>
            <w:r w:rsidRPr="00017B1E">
              <w:rPr>
                <w:rtl/>
              </w:rPr>
              <w:t xml:space="preserve"> ";</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A2164C">
            <w:pPr>
              <w:pStyle w:val="TableText"/>
            </w:pPr>
          </w:p>
        </w:tc>
        <w:tc>
          <w:tcPr>
            <w:tcW w:w="850" w:type="dxa"/>
            <w:gridSpan w:val="2"/>
          </w:tcPr>
          <w:p w:rsidR="0084105B" w:rsidRDefault="0084105B" w:rsidP="00A2164C">
            <w:pPr>
              <w:pStyle w:val="TableText"/>
              <w:tabs>
                <w:tab w:val="clear" w:pos="624"/>
              </w:tabs>
              <w:ind w:right="0"/>
              <w:jc w:val="both"/>
              <w:rPr>
                <w:rtl/>
              </w:rPr>
            </w:pPr>
            <w:r>
              <w:rPr>
                <w:rFonts w:hint="cs"/>
                <w:rtl/>
              </w:rPr>
              <w:t>(3)</w:t>
            </w:r>
          </w:p>
        </w:tc>
        <w:tc>
          <w:tcPr>
            <w:tcW w:w="5530" w:type="dxa"/>
            <w:gridSpan w:val="3"/>
          </w:tcPr>
          <w:p w:rsidR="0084105B" w:rsidRPr="00085F06" w:rsidRDefault="0084105B" w:rsidP="00C03879">
            <w:pPr>
              <w:pStyle w:val="TableText"/>
              <w:tabs>
                <w:tab w:val="clear" w:pos="624"/>
              </w:tabs>
              <w:ind w:right="0"/>
              <w:jc w:val="both"/>
              <w:rPr>
                <w:rtl/>
              </w:rPr>
            </w:pPr>
            <w:r w:rsidRPr="00017B1E">
              <w:rPr>
                <w:rtl/>
              </w:rPr>
              <w:t xml:space="preserve">בפסקה (2), במקום </w:t>
            </w:r>
            <w:proofErr w:type="spellStart"/>
            <w:r w:rsidRPr="00017B1E">
              <w:rPr>
                <w:rtl/>
              </w:rPr>
              <w:t>הרישה</w:t>
            </w:r>
            <w:proofErr w:type="spellEnd"/>
            <w:r w:rsidRPr="00017B1E">
              <w:rPr>
                <w:rtl/>
              </w:rPr>
              <w:t xml:space="preserve"> עד המילים "שהורתה הרשות" יבוא "מסרו שני בעלי הזיכיונות הודעה כאמור בסעיף קטן (ו4)(1)", המילה "הקודם" – תימחק, ובסופ</w:t>
            </w:r>
            <w:r w:rsidR="00926327">
              <w:rPr>
                <w:rFonts w:hint="cs"/>
                <w:rtl/>
              </w:rPr>
              <w:t>ה</w:t>
            </w:r>
            <w:r w:rsidRPr="00017B1E">
              <w:rPr>
                <w:rtl/>
              </w:rPr>
              <w:t xml:space="preserve"> יבוא "ובעל הזיכיון שלא זכה במכרז </w:t>
            </w:r>
            <w:r w:rsidRPr="00922AE0">
              <w:rPr>
                <w:rtl/>
              </w:rPr>
              <w:t>יקים ויפעיל</w:t>
            </w:r>
            <w:r w:rsidRPr="00017B1E">
              <w:rPr>
                <w:rtl/>
              </w:rPr>
              <w:t xml:space="preserve"> חברת חדשות כאמור בחוק זה</w:t>
            </w:r>
            <w:r w:rsidR="001C1AD5">
              <w:rPr>
                <w:rFonts w:hint="cs"/>
                <w:rtl/>
              </w:rPr>
              <w:t>;</w:t>
            </w:r>
            <w:r w:rsidRPr="00017B1E">
              <w:rPr>
                <w:rtl/>
              </w:rPr>
              <w:t>";</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A2164C">
            <w:pPr>
              <w:pStyle w:val="TableText"/>
            </w:pPr>
          </w:p>
        </w:tc>
        <w:tc>
          <w:tcPr>
            <w:tcW w:w="850" w:type="dxa"/>
            <w:gridSpan w:val="2"/>
          </w:tcPr>
          <w:p w:rsidR="0084105B" w:rsidRDefault="0084105B" w:rsidP="00C03879">
            <w:pPr>
              <w:pStyle w:val="TableText"/>
              <w:tabs>
                <w:tab w:val="clear" w:pos="624"/>
              </w:tabs>
              <w:ind w:right="0"/>
              <w:jc w:val="both"/>
              <w:rPr>
                <w:rtl/>
              </w:rPr>
            </w:pPr>
            <w:r>
              <w:rPr>
                <w:rFonts w:hint="cs"/>
                <w:rtl/>
              </w:rPr>
              <w:t>(</w:t>
            </w:r>
            <w:r w:rsidR="00C03879">
              <w:rPr>
                <w:rFonts w:hint="cs"/>
                <w:rtl/>
              </w:rPr>
              <w:t>4</w:t>
            </w:r>
            <w:r>
              <w:rPr>
                <w:rFonts w:hint="cs"/>
                <w:rtl/>
              </w:rPr>
              <w:t>)</w:t>
            </w:r>
          </w:p>
        </w:tc>
        <w:tc>
          <w:tcPr>
            <w:tcW w:w="5530" w:type="dxa"/>
            <w:gridSpan w:val="3"/>
          </w:tcPr>
          <w:p w:rsidR="0084105B" w:rsidRDefault="0084105B" w:rsidP="002F3E23">
            <w:pPr>
              <w:pStyle w:val="TableText"/>
              <w:jc w:val="both"/>
              <w:rPr>
                <w:rtl/>
              </w:rPr>
            </w:pPr>
            <w:r w:rsidRPr="00017B1E">
              <w:rPr>
                <w:rtl/>
              </w:rPr>
              <w:t>פסקה (3) – תימחק</w:t>
            </w:r>
            <w:r w:rsidR="002F3E23">
              <w:rPr>
                <w:rFonts w:hint="cs"/>
                <w:rtl/>
              </w:rPr>
              <w:t>.</w:t>
            </w:r>
          </w:p>
        </w:tc>
      </w:tr>
      <w:tr w:rsidR="0084105B" w:rsidTr="001A7D83">
        <w:trPr>
          <w:cantSplit/>
          <w:trHeight w:val="60"/>
        </w:trPr>
        <w:tc>
          <w:tcPr>
            <w:tcW w:w="1871" w:type="dxa"/>
          </w:tcPr>
          <w:p w:rsidR="0084105B" w:rsidRDefault="0084105B" w:rsidP="00A2164C">
            <w:pPr>
              <w:pStyle w:val="TableSideHeading"/>
              <w:rPr>
                <w:rtl/>
              </w:rPr>
            </w:pPr>
          </w:p>
        </w:tc>
        <w:tc>
          <w:tcPr>
            <w:tcW w:w="624" w:type="dxa"/>
          </w:tcPr>
          <w:p w:rsidR="0084105B" w:rsidRDefault="0084105B" w:rsidP="00A2164C">
            <w:pPr>
              <w:pStyle w:val="TableText"/>
            </w:pPr>
          </w:p>
        </w:tc>
        <w:tc>
          <w:tcPr>
            <w:tcW w:w="907" w:type="dxa"/>
          </w:tcPr>
          <w:p w:rsidR="0084105B" w:rsidRDefault="0084105B" w:rsidP="00A2164C">
            <w:pPr>
              <w:pStyle w:val="TableText"/>
            </w:pPr>
            <w:r>
              <w:rPr>
                <w:rFonts w:hint="cs"/>
                <w:rtl/>
              </w:rPr>
              <w:t>(ז)</w:t>
            </w:r>
          </w:p>
        </w:tc>
        <w:tc>
          <w:tcPr>
            <w:tcW w:w="6380" w:type="dxa"/>
            <w:gridSpan w:val="5"/>
          </w:tcPr>
          <w:p w:rsidR="0084105B" w:rsidRPr="007A53D9" w:rsidRDefault="0084105B" w:rsidP="007429CD">
            <w:pPr>
              <w:pStyle w:val="TableBlock"/>
              <w:rPr>
                <w:color w:val="auto"/>
                <w:sz w:val="26"/>
                <w:rtl/>
              </w:rPr>
            </w:pPr>
            <w:r w:rsidRPr="005F2213">
              <w:rPr>
                <w:color w:val="auto"/>
                <w:sz w:val="26"/>
                <w:rtl/>
              </w:rPr>
              <w:t>סעי</w:t>
            </w:r>
            <w:r>
              <w:rPr>
                <w:rFonts w:hint="cs"/>
                <w:color w:val="auto"/>
                <w:sz w:val="26"/>
                <w:rtl/>
              </w:rPr>
              <w:t>פים</w:t>
            </w:r>
            <w:r w:rsidRPr="005F2213">
              <w:rPr>
                <w:color w:val="auto"/>
                <w:sz w:val="26"/>
                <w:rtl/>
              </w:rPr>
              <w:t xml:space="preserve"> קט</w:t>
            </w:r>
            <w:r>
              <w:rPr>
                <w:rFonts w:hint="cs"/>
                <w:color w:val="auto"/>
                <w:sz w:val="26"/>
                <w:rtl/>
              </w:rPr>
              <w:t>נים (</w:t>
            </w:r>
            <w:proofErr w:type="spellStart"/>
            <w:r>
              <w:rPr>
                <w:rFonts w:hint="cs"/>
                <w:color w:val="auto"/>
                <w:sz w:val="26"/>
                <w:rtl/>
              </w:rPr>
              <w:t>יב</w:t>
            </w:r>
            <w:proofErr w:type="spellEnd"/>
            <w:r>
              <w:rPr>
                <w:rFonts w:hint="cs"/>
                <w:color w:val="auto"/>
                <w:sz w:val="26"/>
                <w:rtl/>
              </w:rPr>
              <w:t>) ו-</w:t>
            </w:r>
            <w:r w:rsidRPr="005F2213">
              <w:rPr>
                <w:color w:val="auto"/>
                <w:sz w:val="26"/>
                <w:rtl/>
              </w:rPr>
              <w:t>(</w:t>
            </w:r>
            <w:proofErr w:type="spellStart"/>
            <w:r w:rsidRPr="005F2213">
              <w:rPr>
                <w:color w:val="auto"/>
                <w:sz w:val="26"/>
                <w:rtl/>
              </w:rPr>
              <w:t>יג</w:t>
            </w:r>
            <w:proofErr w:type="spellEnd"/>
            <w:r w:rsidRPr="005F2213">
              <w:rPr>
                <w:color w:val="auto"/>
                <w:sz w:val="26"/>
                <w:rtl/>
              </w:rPr>
              <w:t xml:space="preserve">) </w:t>
            </w:r>
            <w:r>
              <w:rPr>
                <w:color w:val="auto"/>
                <w:sz w:val="26"/>
                <w:rtl/>
              </w:rPr>
              <w:t>–</w:t>
            </w:r>
            <w:r w:rsidRPr="005F2213">
              <w:rPr>
                <w:color w:val="auto"/>
                <w:sz w:val="26"/>
                <w:rtl/>
              </w:rPr>
              <w:t xml:space="preserve"> </w:t>
            </w:r>
            <w:r>
              <w:rPr>
                <w:rFonts w:hint="cs"/>
                <w:color w:val="auto"/>
                <w:sz w:val="26"/>
                <w:rtl/>
              </w:rPr>
              <w:t>יימחקו</w:t>
            </w:r>
            <w:r w:rsidRPr="007E3C00">
              <w:rPr>
                <w:color w:val="auto"/>
                <w:sz w:val="26"/>
                <w:rtl/>
              </w:rPr>
              <w:t>;</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Default="0084105B" w:rsidP="00C03879">
            <w:pPr>
              <w:pStyle w:val="TableText"/>
            </w:pPr>
            <w:r>
              <w:rPr>
                <w:rFonts w:hint="cs"/>
                <w:rtl/>
              </w:rPr>
              <w:t>(</w:t>
            </w:r>
            <w:r w:rsidR="00C03879">
              <w:rPr>
                <w:rFonts w:hint="cs"/>
                <w:rtl/>
              </w:rPr>
              <w:t>ח</w:t>
            </w:r>
            <w:r>
              <w:rPr>
                <w:rFonts w:hint="cs"/>
                <w:rtl/>
              </w:rPr>
              <w:t>)</w:t>
            </w:r>
          </w:p>
        </w:tc>
        <w:tc>
          <w:tcPr>
            <w:tcW w:w="6380" w:type="dxa"/>
            <w:gridSpan w:val="5"/>
          </w:tcPr>
          <w:p w:rsidR="0084105B" w:rsidRPr="007A53D9" w:rsidRDefault="0084105B" w:rsidP="00A2164C">
            <w:pPr>
              <w:pStyle w:val="TableText"/>
              <w:tabs>
                <w:tab w:val="clear" w:pos="624"/>
              </w:tabs>
              <w:ind w:right="0"/>
              <w:jc w:val="both"/>
              <w:rPr>
                <w:color w:val="auto"/>
                <w:sz w:val="26"/>
                <w:rtl/>
              </w:rPr>
            </w:pPr>
            <w:r>
              <w:rPr>
                <w:rFonts w:hint="cs"/>
                <w:color w:val="auto"/>
                <w:sz w:val="26"/>
                <w:rtl/>
              </w:rPr>
              <w:t>אחרי סעיף קטן (יד), יבוא:</w:t>
            </w:r>
          </w:p>
        </w:tc>
      </w:tr>
      <w:tr w:rsidR="003A61F0" w:rsidTr="00F108D4">
        <w:trPr>
          <w:cantSplit/>
          <w:trHeight w:val="60"/>
        </w:trPr>
        <w:tc>
          <w:tcPr>
            <w:tcW w:w="1871" w:type="dxa"/>
          </w:tcPr>
          <w:p w:rsidR="003A61F0" w:rsidRDefault="003A61F0">
            <w:pPr>
              <w:pStyle w:val="TableSideHeading"/>
            </w:pPr>
          </w:p>
        </w:tc>
        <w:tc>
          <w:tcPr>
            <w:tcW w:w="624" w:type="dxa"/>
          </w:tcPr>
          <w:p w:rsidR="003A61F0" w:rsidRDefault="003A61F0">
            <w:pPr>
              <w:pStyle w:val="TableText"/>
            </w:pPr>
          </w:p>
        </w:tc>
        <w:tc>
          <w:tcPr>
            <w:tcW w:w="907" w:type="dxa"/>
          </w:tcPr>
          <w:p w:rsidR="003A61F0" w:rsidRDefault="003A61F0">
            <w:pPr>
              <w:pStyle w:val="TableText"/>
            </w:pPr>
          </w:p>
        </w:tc>
        <w:tc>
          <w:tcPr>
            <w:tcW w:w="850" w:type="dxa"/>
            <w:gridSpan w:val="2"/>
          </w:tcPr>
          <w:p w:rsidR="003A61F0" w:rsidRDefault="003A61F0">
            <w:pPr>
              <w:pStyle w:val="TableText"/>
            </w:pPr>
            <w:r>
              <w:rPr>
                <w:rFonts w:hint="cs"/>
                <w:rtl/>
              </w:rPr>
              <w:t>"(טו)</w:t>
            </w:r>
          </w:p>
        </w:tc>
        <w:tc>
          <w:tcPr>
            <w:tcW w:w="5530" w:type="dxa"/>
            <w:gridSpan w:val="3"/>
          </w:tcPr>
          <w:p w:rsidR="003A61F0" w:rsidRDefault="003A61F0" w:rsidP="00454DE1">
            <w:pPr>
              <w:pStyle w:val="TableBlock"/>
            </w:pPr>
            <w:r>
              <w:rPr>
                <w:rFonts w:hint="cs"/>
                <w:rtl/>
              </w:rPr>
              <w:t>הבעלות ב</w:t>
            </w:r>
            <w:r w:rsidRPr="00620688">
              <w:rPr>
                <w:rFonts w:hint="cs"/>
                <w:rtl/>
              </w:rPr>
              <w:t>מניות הרכוש של חברות החדשות</w:t>
            </w:r>
            <w:r>
              <w:rPr>
                <w:rFonts w:hint="cs"/>
                <w:rtl/>
              </w:rPr>
              <w:t xml:space="preserve"> של ערוץ 2 עקב רכישת</w:t>
            </w:r>
            <w:r w:rsidR="00C03879">
              <w:rPr>
                <w:rFonts w:hint="cs"/>
                <w:rtl/>
              </w:rPr>
              <w:t>ה</w:t>
            </w:r>
            <w:r>
              <w:rPr>
                <w:rFonts w:hint="cs"/>
                <w:rtl/>
              </w:rPr>
              <w:t xml:space="preserve"> כאמור בסעיף קטן (יא) תיכנס לתוקף ביום </w:t>
            </w:r>
            <w:r w:rsidR="00454DE1">
              <w:rPr>
                <w:rFonts w:hint="cs"/>
                <w:color w:val="auto"/>
                <w:sz w:val="26"/>
                <w:rtl/>
              </w:rPr>
              <w:t>י"ב</w:t>
            </w:r>
            <w:r w:rsidRPr="007A53D9">
              <w:rPr>
                <w:color w:val="auto"/>
                <w:sz w:val="26"/>
                <w:rtl/>
              </w:rPr>
              <w:t xml:space="preserve"> ב</w:t>
            </w:r>
            <w:r w:rsidR="00454DE1">
              <w:rPr>
                <w:rFonts w:hint="cs"/>
                <w:color w:val="auto"/>
                <w:sz w:val="26"/>
                <w:rtl/>
              </w:rPr>
              <w:t>ניסן</w:t>
            </w:r>
            <w:r w:rsidRPr="007A53D9">
              <w:rPr>
                <w:color w:val="auto"/>
                <w:sz w:val="26"/>
                <w:rtl/>
              </w:rPr>
              <w:t xml:space="preserve"> </w:t>
            </w:r>
            <w:proofErr w:type="spellStart"/>
            <w:r w:rsidRPr="007A53D9">
              <w:rPr>
                <w:color w:val="auto"/>
                <w:sz w:val="26"/>
                <w:rtl/>
              </w:rPr>
              <w:t>התשע"ה</w:t>
            </w:r>
            <w:proofErr w:type="spellEnd"/>
            <w:r w:rsidRPr="007A53D9">
              <w:rPr>
                <w:color w:val="auto"/>
                <w:sz w:val="26"/>
                <w:rtl/>
              </w:rPr>
              <w:t xml:space="preserve"> (1 ב</w:t>
            </w:r>
            <w:r w:rsidR="00454DE1">
              <w:rPr>
                <w:rFonts w:hint="cs"/>
                <w:color w:val="auto"/>
                <w:sz w:val="26"/>
                <w:rtl/>
              </w:rPr>
              <w:t>אפריל</w:t>
            </w:r>
            <w:r w:rsidRPr="007A53D9">
              <w:rPr>
                <w:color w:val="auto"/>
                <w:sz w:val="26"/>
                <w:rtl/>
              </w:rPr>
              <w:t xml:space="preserve"> 201</w:t>
            </w:r>
            <w:r>
              <w:rPr>
                <w:rFonts w:hint="cs"/>
                <w:color w:val="auto"/>
                <w:sz w:val="26"/>
                <w:rtl/>
              </w:rPr>
              <w:t>5</w:t>
            </w:r>
            <w:r w:rsidRPr="007A53D9">
              <w:rPr>
                <w:color w:val="auto"/>
                <w:sz w:val="26"/>
                <w:rtl/>
              </w:rPr>
              <w:t>)</w:t>
            </w:r>
            <w:r>
              <w:rPr>
                <w:rFonts w:hint="cs"/>
                <w:rtl/>
              </w:rPr>
              <w:t xml:space="preserve"> והמועצה תעניק לחברת החדשות </w:t>
            </w:r>
            <w:r w:rsidR="00C03879">
              <w:rPr>
                <w:rFonts w:hint="cs"/>
                <w:rtl/>
              </w:rPr>
              <w:t>רישיון</w:t>
            </w:r>
            <w:r>
              <w:rPr>
                <w:rFonts w:hint="cs"/>
                <w:rtl/>
              </w:rPr>
              <w:t xml:space="preserve"> כאמור בהוראות סימן ד</w:t>
            </w:r>
            <w:r w:rsidR="0099769D">
              <w:rPr>
                <w:rFonts w:hint="cs"/>
                <w:rtl/>
              </w:rPr>
              <w:t>'</w:t>
            </w:r>
            <w:r>
              <w:rPr>
                <w:rFonts w:hint="cs"/>
                <w:rtl/>
              </w:rPr>
              <w:t xml:space="preserve"> בפרק ד</w:t>
            </w:r>
            <w:r w:rsidR="0099769D">
              <w:rPr>
                <w:rFonts w:hint="cs"/>
                <w:rtl/>
              </w:rPr>
              <w:t>'</w:t>
            </w:r>
            <w:r>
              <w:rPr>
                <w:rFonts w:hint="cs"/>
                <w:rtl/>
              </w:rPr>
              <w:t xml:space="preserve"> למעט סעיף 63א(ה)</w:t>
            </w:r>
            <w:r w:rsidR="00FA451A" w:rsidRPr="00017B1E">
              <w:rPr>
                <w:rtl/>
              </w:rPr>
              <w:t>;</w:t>
            </w:r>
          </w:p>
        </w:tc>
      </w:tr>
      <w:tr w:rsidR="00FA451A" w:rsidTr="00F108D4">
        <w:trPr>
          <w:cantSplit/>
          <w:trHeight w:val="60"/>
        </w:trPr>
        <w:tc>
          <w:tcPr>
            <w:tcW w:w="1871" w:type="dxa"/>
          </w:tcPr>
          <w:p w:rsidR="00FA451A" w:rsidRDefault="00FA451A">
            <w:pPr>
              <w:pStyle w:val="TableSideHeading"/>
            </w:pPr>
          </w:p>
        </w:tc>
        <w:tc>
          <w:tcPr>
            <w:tcW w:w="624" w:type="dxa"/>
          </w:tcPr>
          <w:p w:rsidR="00FA451A" w:rsidRDefault="00FA451A">
            <w:pPr>
              <w:pStyle w:val="TableText"/>
            </w:pPr>
          </w:p>
        </w:tc>
        <w:tc>
          <w:tcPr>
            <w:tcW w:w="907" w:type="dxa"/>
          </w:tcPr>
          <w:p w:rsidR="00FA451A" w:rsidRDefault="00FA451A">
            <w:pPr>
              <w:pStyle w:val="TableText"/>
            </w:pPr>
          </w:p>
        </w:tc>
        <w:tc>
          <w:tcPr>
            <w:tcW w:w="850" w:type="dxa"/>
            <w:gridSpan w:val="2"/>
          </w:tcPr>
          <w:p w:rsidR="00FA451A" w:rsidRPr="00FA451A" w:rsidRDefault="00FA451A">
            <w:pPr>
              <w:pStyle w:val="TableText"/>
              <w:rPr>
                <w:rtl/>
              </w:rPr>
            </w:pPr>
            <w:r>
              <w:rPr>
                <w:rFonts w:hint="cs"/>
                <w:rtl/>
              </w:rPr>
              <w:t>(</w:t>
            </w:r>
            <w:proofErr w:type="spellStart"/>
            <w:r>
              <w:rPr>
                <w:rFonts w:hint="cs"/>
                <w:rtl/>
              </w:rPr>
              <w:t>טז</w:t>
            </w:r>
            <w:proofErr w:type="spellEnd"/>
            <w:r>
              <w:rPr>
                <w:rFonts w:hint="cs"/>
                <w:rtl/>
              </w:rPr>
              <w:t>)</w:t>
            </w:r>
          </w:p>
        </w:tc>
        <w:tc>
          <w:tcPr>
            <w:tcW w:w="5530" w:type="dxa"/>
            <w:gridSpan w:val="3"/>
          </w:tcPr>
          <w:p w:rsidR="00FA451A" w:rsidRDefault="00FA451A" w:rsidP="00FA451A">
            <w:pPr>
              <w:pStyle w:val="TableBlock"/>
              <w:rPr>
                <w:rtl/>
              </w:rPr>
            </w:pPr>
            <w:r w:rsidRPr="00FA451A">
              <w:rPr>
                <w:rtl/>
              </w:rPr>
              <w:t xml:space="preserve">לעניין התחייבויות בתחום התוכן, שלא קיים בעל זיכיון בתקופה שאחרי יום תחילתו של תיקון מס' 37 ועד למועד קבלת הרישיון והנובעות מהפרש הכנסה– בעל הזיכיון </w:t>
            </w:r>
            <w:r>
              <w:rPr>
                <w:rFonts w:hint="cs"/>
                <w:rtl/>
              </w:rPr>
              <w:t xml:space="preserve">ימסור </w:t>
            </w:r>
            <w:r w:rsidRPr="00FA451A">
              <w:rPr>
                <w:rtl/>
              </w:rPr>
              <w:t>למועצה ב</w:t>
            </w:r>
            <w:r>
              <w:rPr>
                <w:rFonts w:hint="cs"/>
                <w:rtl/>
              </w:rPr>
              <w:t>תוך שנה מ</w:t>
            </w:r>
            <w:r w:rsidRPr="00FA451A">
              <w:rPr>
                <w:rtl/>
              </w:rPr>
              <w:t>מועד הודעתו כי הוא מעוניין לקבל רישיון כאמור בסעיף קטן (ו1), תכנית מפורטת הכוללת שלבי פעולה להשלמ</w:t>
            </w:r>
            <w:r>
              <w:rPr>
                <w:rFonts w:hint="cs"/>
                <w:rtl/>
              </w:rPr>
              <w:t>ת ההתחייבויו</w:t>
            </w:r>
            <w:r>
              <w:rPr>
                <w:rFonts w:hint="eastAsia"/>
                <w:rtl/>
              </w:rPr>
              <w:t>ת</w:t>
            </w:r>
            <w:r>
              <w:rPr>
                <w:rFonts w:hint="cs"/>
                <w:rtl/>
              </w:rPr>
              <w:t xml:space="preserve"> כאמור</w:t>
            </w:r>
            <w:r w:rsidRPr="00FA451A">
              <w:rPr>
                <w:rtl/>
              </w:rPr>
              <w:t xml:space="preserve"> בתוך שנתיים ממועד תחילת תוקפו של הרישיון.".</w:t>
            </w:r>
          </w:p>
        </w:tc>
      </w:tr>
      <w:tr w:rsidR="0084105B" w:rsidTr="001A7D83">
        <w:trPr>
          <w:cantSplit/>
          <w:trHeight w:val="60"/>
        </w:trPr>
        <w:tc>
          <w:tcPr>
            <w:tcW w:w="1871" w:type="dxa"/>
          </w:tcPr>
          <w:p w:rsidR="0084105B" w:rsidRDefault="0084105B" w:rsidP="0099769D">
            <w:pPr>
              <w:pStyle w:val="TableSideHeading"/>
              <w:keepLines w:val="0"/>
            </w:pPr>
            <w:r>
              <w:rPr>
                <w:rFonts w:hint="cs"/>
                <w:rtl/>
              </w:rPr>
              <w:t>תיקון חוק הרשות השנייה לטלוויזיה ורדיו (תיקון מס' 33)</w:t>
            </w:r>
          </w:p>
        </w:tc>
        <w:tc>
          <w:tcPr>
            <w:tcW w:w="624" w:type="dxa"/>
          </w:tcPr>
          <w:p w:rsidR="0084105B" w:rsidRDefault="009B12E4" w:rsidP="00C83A12">
            <w:pPr>
              <w:pStyle w:val="TableText"/>
              <w:keepLines w:val="0"/>
            </w:pPr>
            <w:r>
              <w:rPr>
                <w:rFonts w:hint="cs"/>
                <w:rtl/>
              </w:rPr>
              <w:t>4</w:t>
            </w:r>
            <w:r w:rsidR="00C83A12">
              <w:rPr>
                <w:rFonts w:hint="cs"/>
                <w:rtl/>
              </w:rPr>
              <w:t>.</w:t>
            </w:r>
          </w:p>
        </w:tc>
        <w:tc>
          <w:tcPr>
            <w:tcW w:w="7287" w:type="dxa"/>
            <w:gridSpan w:val="6"/>
          </w:tcPr>
          <w:p w:rsidR="0084105B" w:rsidRPr="00C34DE2" w:rsidRDefault="0084105B" w:rsidP="0099769D">
            <w:pPr>
              <w:pStyle w:val="TableBlock"/>
              <w:keepLines w:val="0"/>
            </w:pPr>
            <w:r w:rsidRPr="007E5A3D">
              <w:rPr>
                <w:rtl/>
              </w:rPr>
              <w:t>בחוק הרשות השנייה לטלוויזיה ורדיו (תיקון מס' 33), התשע"א-2011</w:t>
            </w:r>
            <w:r w:rsidR="0099769D">
              <w:rPr>
                <w:rStyle w:val="a5"/>
                <w:rtl/>
              </w:rPr>
              <w:footnoteReference w:id="5"/>
            </w:r>
            <w:r w:rsidRPr="007E5A3D">
              <w:rPr>
                <w:rtl/>
              </w:rPr>
              <w:t xml:space="preserve"> </w:t>
            </w:r>
            <w:r w:rsidR="0099769D">
              <w:rPr>
                <w:rtl/>
              </w:rPr>
              <w:t>–</w:t>
            </w:r>
            <w:r w:rsidR="0099769D" w:rsidRPr="007E5A3D">
              <w:rPr>
                <w:rtl/>
              </w:rPr>
              <w:t xml:space="preserve"> </w:t>
            </w:r>
          </w:p>
        </w:tc>
      </w:tr>
      <w:tr w:rsidR="003A61F0" w:rsidTr="001A7D83">
        <w:trPr>
          <w:cantSplit/>
          <w:trHeight w:val="60"/>
        </w:trPr>
        <w:tc>
          <w:tcPr>
            <w:tcW w:w="1871" w:type="dxa"/>
          </w:tcPr>
          <w:p w:rsidR="003A61F0" w:rsidRDefault="003A61F0" w:rsidP="00A2164C">
            <w:pPr>
              <w:pStyle w:val="TableSideHeading"/>
              <w:keepLines w:val="0"/>
              <w:rPr>
                <w:rtl/>
              </w:rPr>
            </w:pPr>
          </w:p>
        </w:tc>
        <w:tc>
          <w:tcPr>
            <w:tcW w:w="624" w:type="dxa"/>
          </w:tcPr>
          <w:p w:rsidR="003A61F0" w:rsidRDefault="003A61F0" w:rsidP="00630B04">
            <w:pPr>
              <w:pStyle w:val="TableText"/>
              <w:rPr>
                <w:rtl/>
              </w:rPr>
            </w:pPr>
          </w:p>
        </w:tc>
        <w:tc>
          <w:tcPr>
            <w:tcW w:w="7287" w:type="dxa"/>
            <w:gridSpan w:val="6"/>
          </w:tcPr>
          <w:p w:rsidR="003A61F0" w:rsidRPr="003A61F0" w:rsidRDefault="003A61F0" w:rsidP="0099769D">
            <w:pPr>
              <w:pStyle w:val="TableBlock"/>
              <w:keepLines w:val="0"/>
              <w:rPr>
                <w:rtl/>
              </w:rPr>
            </w:pPr>
            <w:r>
              <w:rPr>
                <w:rFonts w:hint="cs"/>
                <w:rtl/>
              </w:rPr>
              <w:t>בפרק ב'</w:t>
            </w:r>
            <w:r w:rsidR="00926327">
              <w:rPr>
                <w:rFonts w:hint="cs"/>
                <w:rtl/>
              </w:rPr>
              <w:t>,</w:t>
            </w:r>
            <w:r>
              <w:rPr>
                <w:rFonts w:hint="cs"/>
                <w:rtl/>
              </w:rPr>
              <w:t xml:space="preserve"> סימן א' </w:t>
            </w:r>
            <w:r>
              <w:rPr>
                <w:rtl/>
              </w:rPr>
              <w:t>–</w:t>
            </w:r>
          </w:p>
        </w:tc>
      </w:tr>
      <w:tr w:rsidR="0084105B" w:rsidTr="001A7D83">
        <w:trPr>
          <w:cantSplit/>
          <w:trHeight w:val="60"/>
        </w:trPr>
        <w:tc>
          <w:tcPr>
            <w:tcW w:w="1871" w:type="dxa"/>
          </w:tcPr>
          <w:p w:rsidR="0084105B" w:rsidRDefault="0084105B" w:rsidP="00A2164C">
            <w:pPr>
              <w:pStyle w:val="TableSideHeading"/>
            </w:pPr>
          </w:p>
        </w:tc>
        <w:tc>
          <w:tcPr>
            <w:tcW w:w="624" w:type="dxa"/>
          </w:tcPr>
          <w:p w:rsidR="0084105B" w:rsidRDefault="0084105B" w:rsidP="00A2164C">
            <w:pPr>
              <w:pStyle w:val="TableText"/>
            </w:pPr>
          </w:p>
        </w:tc>
        <w:tc>
          <w:tcPr>
            <w:tcW w:w="907" w:type="dxa"/>
          </w:tcPr>
          <w:p w:rsidR="0084105B" w:rsidRPr="00017B1E" w:rsidRDefault="0084105B" w:rsidP="00D9566A">
            <w:pPr>
              <w:pStyle w:val="TableText"/>
            </w:pPr>
            <w:r>
              <w:rPr>
                <w:rFonts w:hint="cs"/>
                <w:rtl/>
              </w:rPr>
              <w:t>(</w:t>
            </w:r>
            <w:r w:rsidR="00D9566A">
              <w:rPr>
                <w:rFonts w:hint="cs"/>
                <w:rtl/>
              </w:rPr>
              <w:t>א</w:t>
            </w:r>
            <w:r>
              <w:rPr>
                <w:rFonts w:hint="cs"/>
                <w:rtl/>
              </w:rPr>
              <w:t>)</w:t>
            </w:r>
          </w:p>
        </w:tc>
        <w:tc>
          <w:tcPr>
            <w:tcW w:w="6380" w:type="dxa"/>
            <w:gridSpan w:val="5"/>
          </w:tcPr>
          <w:p w:rsidR="0084105B" w:rsidRDefault="00F108D4" w:rsidP="00454DE1">
            <w:pPr>
              <w:pStyle w:val="TableBlock"/>
              <w:rPr>
                <w:rtl/>
              </w:rPr>
            </w:pPr>
            <w:r w:rsidRPr="00F108D4">
              <w:rPr>
                <w:rtl/>
              </w:rPr>
              <w:t>בסעיף 85(1) בהגדרה "בעל זיכיון לשידורי טלוויזיה", במקום "י"ט בחשוון תשע"ו (1 בנובמבר 2015)" יבוא "</w:t>
            </w:r>
            <w:r w:rsidR="00454DE1">
              <w:rPr>
                <w:rFonts w:hint="cs"/>
                <w:rtl/>
              </w:rPr>
              <w:t>י"ב</w:t>
            </w:r>
            <w:r w:rsidRPr="00F108D4">
              <w:rPr>
                <w:rtl/>
              </w:rPr>
              <w:t xml:space="preserve"> ב</w:t>
            </w:r>
            <w:r w:rsidR="00454DE1">
              <w:rPr>
                <w:rFonts w:hint="cs"/>
                <w:rtl/>
              </w:rPr>
              <w:t>ניסן</w:t>
            </w:r>
            <w:r w:rsidRPr="00F108D4">
              <w:rPr>
                <w:rtl/>
              </w:rPr>
              <w:t xml:space="preserve"> </w:t>
            </w:r>
            <w:proofErr w:type="spellStart"/>
            <w:r w:rsidRPr="00F108D4">
              <w:rPr>
                <w:rtl/>
              </w:rPr>
              <w:t>התשע"ה</w:t>
            </w:r>
            <w:proofErr w:type="spellEnd"/>
            <w:r w:rsidRPr="00F108D4">
              <w:rPr>
                <w:rtl/>
              </w:rPr>
              <w:t xml:space="preserve"> (1 ב</w:t>
            </w:r>
            <w:r w:rsidR="00454DE1">
              <w:rPr>
                <w:rFonts w:hint="cs"/>
                <w:rtl/>
              </w:rPr>
              <w:t>אפריל</w:t>
            </w:r>
            <w:r w:rsidRPr="00F108D4">
              <w:rPr>
                <w:rtl/>
              </w:rPr>
              <w:t xml:space="preserve"> 2015)";</w:t>
            </w:r>
          </w:p>
        </w:tc>
      </w:tr>
      <w:tr w:rsidR="00F108D4" w:rsidTr="001A7D83">
        <w:trPr>
          <w:cantSplit/>
          <w:trHeight w:val="60"/>
        </w:trPr>
        <w:tc>
          <w:tcPr>
            <w:tcW w:w="1871" w:type="dxa"/>
          </w:tcPr>
          <w:p w:rsidR="00F108D4" w:rsidRDefault="00F108D4" w:rsidP="00A2164C">
            <w:pPr>
              <w:pStyle w:val="TableSideHeading"/>
            </w:pPr>
          </w:p>
        </w:tc>
        <w:tc>
          <w:tcPr>
            <w:tcW w:w="624" w:type="dxa"/>
          </w:tcPr>
          <w:p w:rsidR="00F108D4" w:rsidRDefault="00F108D4" w:rsidP="00A2164C">
            <w:pPr>
              <w:pStyle w:val="TableText"/>
            </w:pPr>
          </w:p>
        </w:tc>
        <w:tc>
          <w:tcPr>
            <w:tcW w:w="907" w:type="dxa"/>
          </w:tcPr>
          <w:p w:rsidR="00F108D4" w:rsidRDefault="00F108D4" w:rsidP="00D9566A">
            <w:pPr>
              <w:pStyle w:val="TableText"/>
              <w:rPr>
                <w:rtl/>
              </w:rPr>
            </w:pPr>
            <w:r>
              <w:rPr>
                <w:rFonts w:hint="cs"/>
                <w:rtl/>
              </w:rPr>
              <w:t>(</w:t>
            </w:r>
            <w:r w:rsidR="00D9566A">
              <w:rPr>
                <w:rFonts w:hint="cs"/>
                <w:rtl/>
              </w:rPr>
              <w:t>ב</w:t>
            </w:r>
            <w:r>
              <w:rPr>
                <w:rFonts w:hint="cs"/>
                <w:rtl/>
              </w:rPr>
              <w:t>)</w:t>
            </w:r>
          </w:p>
        </w:tc>
        <w:tc>
          <w:tcPr>
            <w:tcW w:w="6380" w:type="dxa"/>
            <w:gridSpan w:val="5"/>
          </w:tcPr>
          <w:p w:rsidR="00F108D4" w:rsidRPr="00F108D4" w:rsidRDefault="00F108D4" w:rsidP="00454DE1">
            <w:pPr>
              <w:pStyle w:val="TableBlock"/>
              <w:rPr>
                <w:rtl/>
              </w:rPr>
            </w:pPr>
            <w:r w:rsidRPr="00F108D4">
              <w:rPr>
                <w:rtl/>
              </w:rPr>
              <w:t>בסעיף 144</w:t>
            </w:r>
            <w:r w:rsidR="0099769D">
              <w:rPr>
                <w:rFonts w:hint="cs"/>
                <w:rtl/>
              </w:rPr>
              <w:t>,</w:t>
            </w:r>
            <w:r w:rsidRPr="00F108D4">
              <w:rPr>
                <w:rtl/>
              </w:rPr>
              <w:t xml:space="preserve"> במקום "י"ט בחשוון תשע"ו (1 בנובמבר 2015)" יבוא "</w:t>
            </w:r>
            <w:r w:rsidR="00454DE1">
              <w:rPr>
                <w:rFonts w:hint="cs"/>
                <w:rtl/>
              </w:rPr>
              <w:t>י"ב</w:t>
            </w:r>
            <w:r w:rsidRPr="00F108D4">
              <w:rPr>
                <w:rtl/>
              </w:rPr>
              <w:t xml:space="preserve"> ב</w:t>
            </w:r>
            <w:r w:rsidR="00454DE1">
              <w:rPr>
                <w:rFonts w:hint="cs"/>
                <w:rtl/>
              </w:rPr>
              <w:t>ניסן</w:t>
            </w:r>
            <w:r w:rsidRPr="00F108D4">
              <w:rPr>
                <w:rtl/>
              </w:rPr>
              <w:t xml:space="preserve"> </w:t>
            </w:r>
            <w:proofErr w:type="spellStart"/>
            <w:r w:rsidRPr="00F108D4">
              <w:rPr>
                <w:rtl/>
              </w:rPr>
              <w:t>התשע"ה</w:t>
            </w:r>
            <w:proofErr w:type="spellEnd"/>
            <w:r w:rsidRPr="00F108D4">
              <w:rPr>
                <w:rtl/>
              </w:rPr>
              <w:t xml:space="preserve"> (1 ב</w:t>
            </w:r>
            <w:r w:rsidR="00454DE1">
              <w:rPr>
                <w:rFonts w:hint="cs"/>
                <w:rtl/>
              </w:rPr>
              <w:t>אפריל</w:t>
            </w:r>
            <w:r w:rsidRPr="00F108D4">
              <w:rPr>
                <w:rtl/>
              </w:rPr>
              <w:t xml:space="preserve"> 2015)".</w:t>
            </w:r>
            <w:bookmarkStart w:id="0" w:name="_GoBack"/>
            <w:bookmarkEnd w:id="0"/>
          </w:p>
        </w:tc>
      </w:tr>
      <w:tr w:rsidR="0084105B" w:rsidTr="001A7D83">
        <w:trPr>
          <w:cantSplit/>
          <w:trHeight w:val="60"/>
        </w:trPr>
        <w:tc>
          <w:tcPr>
            <w:tcW w:w="1871" w:type="dxa"/>
          </w:tcPr>
          <w:p w:rsidR="0084105B" w:rsidRDefault="0084105B" w:rsidP="0099769D">
            <w:pPr>
              <w:pStyle w:val="TableSideHeading"/>
              <w:keepLines w:val="0"/>
            </w:pPr>
            <w:r>
              <w:rPr>
                <w:rFonts w:hint="cs"/>
                <w:rtl/>
              </w:rPr>
              <w:t>תיקון חוק התקשורת (בזק ושידורים)</w:t>
            </w:r>
            <w:r w:rsidR="00990287">
              <w:rPr>
                <w:rFonts w:hint="cs"/>
                <w:rtl/>
              </w:rPr>
              <w:t>, תשמ"ב-1982</w:t>
            </w:r>
          </w:p>
        </w:tc>
        <w:tc>
          <w:tcPr>
            <w:tcW w:w="624" w:type="dxa"/>
          </w:tcPr>
          <w:p w:rsidR="0084105B" w:rsidRDefault="009B12E4" w:rsidP="00C83A12">
            <w:pPr>
              <w:pStyle w:val="TableText"/>
              <w:keepLines w:val="0"/>
            </w:pPr>
            <w:r>
              <w:rPr>
                <w:rFonts w:hint="cs"/>
                <w:rtl/>
              </w:rPr>
              <w:t>5</w:t>
            </w:r>
            <w:r w:rsidR="00C83A12">
              <w:rPr>
                <w:rFonts w:hint="cs"/>
                <w:rtl/>
              </w:rPr>
              <w:t>.</w:t>
            </w:r>
          </w:p>
        </w:tc>
        <w:tc>
          <w:tcPr>
            <w:tcW w:w="7287" w:type="dxa"/>
            <w:gridSpan w:val="6"/>
          </w:tcPr>
          <w:p w:rsidR="0084105B" w:rsidRPr="00C34DE2" w:rsidRDefault="0084105B" w:rsidP="00893BF9">
            <w:pPr>
              <w:pStyle w:val="TableBlock"/>
              <w:keepLines w:val="0"/>
            </w:pPr>
            <w:r>
              <w:rPr>
                <w:rFonts w:hint="cs"/>
                <w:rtl/>
              </w:rPr>
              <w:t>בחוק התקשורת (בזק ושידורים), תשמ"ב-1982,</w:t>
            </w:r>
            <w:r w:rsidR="0099769D">
              <w:rPr>
                <w:rStyle w:val="a5"/>
                <w:rtl/>
              </w:rPr>
              <w:footnoteReference w:id="6"/>
            </w:r>
            <w:r>
              <w:rPr>
                <w:rFonts w:hint="cs"/>
                <w:rtl/>
              </w:rPr>
              <w:t xml:space="preserve"> בסעיף 6כא1(ב), פסקה (3) </w:t>
            </w:r>
            <w:r w:rsidR="00893BF9">
              <w:rPr>
                <w:rtl/>
              </w:rPr>
              <w:t>–</w:t>
            </w:r>
            <w:r w:rsidR="00893BF9">
              <w:rPr>
                <w:rFonts w:hint="cs"/>
                <w:rtl/>
              </w:rPr>
              <w:t xml:space="preserve">   </w:t>
            </w:r>
            <w:r>
              <w:rPr>
                <w:rFonts w:hint="cs"/>
                <w:rtl/>
              </w:rPr>
              <w:t>תימחק.</w:t>
            </w:r>
          </w:p>
        </w:tc>
      </w:tr>
      <w:tr w:rsidR="00990287" w:rsidTr="001A7D83">
        <w:trPr>
          <w:cantSplit/>
          <w:trHeight w:val="60"/>
        </w:trPr>
        <w:tc>
          <w:tcPr>
            <w:tcW w:w="1871" w:type="dxa"/>
          </w:tcPr>
          <w:p w:rsidR="00990287" w:rsidRDefault="00990287" w:rsidP="0099769D">
            <w:pPr>
              <w:pStyle w:val="TableSideHeading"/>
              <w:keepLines w:val="0"/>
              <w:rPr>
                <w:rtl/>
              </w:rPr>
            </w:pPr>
            <w:r w:rsidRPr="00990287">
              <w:rPr>
                <w:rtl/>
              </w:rPr>
              <w:t>הוראת מעבר – החזר חלק יחסי מדמי זיכיון חד-פעמיים</w:t>
            </w:r>
          </w:p>
        </w:tc>
        <w:tc>
          <w:tcPr>
            <w:tcW w:w="624" w:type="dxa"/>
          </w:tcPr>
          <w:p w:rsidR="00990287" w:rsidRDefault="009B12E4" w:rsidP="00C83A12">
            <w:pPr>
              <w:pStyle w:val="TableText"/>
              <w:keepLines w:val="0"/>
              <w:rPr>
                <w:rtl/>
              </w:rPr>
            </w:pPr>
            <w:r>
              <w:rPr>
                <w:rFonts w:hint="cs"/>
                <w:rtl/>
              </w:rPr>
              <w:t>6</w:t>
            </w:r>
            <w:r w:rsidR="00990287">
              <w:rPr>
                <w:rFonts w:hint="cs"/>
                <w:rtl/>
              </w:rPr>
              <w:t>.</w:t>
            </w:r>
          </w:p>
        </w:tc>
        <w:tc>
          <w:tcPr>
            <w:tcW w:w="7287" w:type="dxa"/>
            <w:gridSpan w:val="6"/>
          </w:tcPr>
          <w:p w:rsidR="00990287" w:rsidRDefault="00990287" w:rsidP="00990287">
            <w:pPr>
              <w:pStyle w:val="TableBlock"/>
              <w:keepLines w:val="0"/>
              <w:rPr>
                <w:rtl/>
              </w:rPr>
            </w:pPr>
            <w:r w:rsidRPr="00990287">
              <w:rPr>
                <w:rtl/>
              </w:rPr>
              <w:t xml:space="preserve">בעל זיכיון בערוץ 2 שתקופת זיכיונו קוצרה לפי סעיף 1 לחוק זה, זכאי לקבל השבה מאוצר המדינה של </w:t>
            </w:r>
            <w:r>
              <w:rPr>
                <w:rFonts w:hint="cs"/>
                <w:rtl/>
              </w:rPr>
              <w:t xml:space="preserve">חלקו היחסי מדמי הזיכיון החד פעמיים ששילם, בהתאם לחלקו היחסי לפי היקף יחידת השידור בתקופת הזיכיון שקוצרה, בתוספת הפרשי הצמדה וריבית החשב הכללי מיום התשלום עד יום ההחזר. </w:t>
            </w:r>
          </w:p>
        </w:tc>
      </w:tr>
    </w:tbl>
    <w:p w:rsidR="001A7D83" w:rsidRDefault="001A7D83">
      <w:pPr>
        <w:pStyle w:val="HeadDivreiHesber"/>
        <w:rPr>
          <w:rtl/>
        </w:rPr>
      </w:pPr>
    </w:p>
    <w:p w:rsidR="001A7D83" w:rsidRDefault="001A7D83" w:rsidP="00AF60E5">
      <w:pPr>
        <w:pStyle w:val="HeadDivreiHesber"/>
        <w:rPr>
          <w:rtl/>
        </w:rPr>
      </w:pPr>
      <w:r>
        <w:rPr>
          <w:rtl/>
        </w:rPr>
        <w:br w:type="page"/>
      </w:r>
    </w:p>
    <w:p w:rsidR="001A7D83" w:rsidRPr="002213BB" w:rsidRDefault="001A7D83">
      <w:pPr>
        <w:pStyle w:val="Hesber1st"/>
        <w:tabs>
          <w:tab w:val="clear" w:pos="680"/>
        </w:tabs>
        <w:rPr>
          <w:rtl/>
        </w:rPr>
      </w:pPr>
    </w:p>
    <w:p w:rsidR="00AF60E5" w:rsidRDefault="00AF60E5" w:rsidP="00AF60E5">
      <w:pPr>
        <w:pStyle w:val="HeadDivreiHesber"/>
        <w:rPr>
          <w:rtl/>
        </w:rPr>
      </w:pPr>
      <w:r>
        <w:rPr>
          <w:rFonts w:hint="cs"/>
          <w:rtl/>
        </w:rPr>
        <w:t>דברי הסבר</w:t>
      </w:r>
    </w:p>
    <w:p w:rsidR="00AF60E5" w:rsidRPr="002213BB" w:rsidRDefault="00AF60E5" w:rsidP="00AF60E5">
      <w:pPr>
        <w:pStyle w:val="Hesber1st"/>
        <w:tabs>
          <w:tab w:val="clear" w:pos="680"/>
        </w:tabs>
        <w:rPr>
          <w:rtl/>
        </w:rPr>
      </w:pPr>
    </w:p>
    <w:p w:rsidR="00AF60E5" w:rsidRDefault="00AF60E5" w:rsidP="007F6D9F">
      <w:pPr>
        <w:widowControl/>
        <w:spacing w:before="0" w:line="360" w:lineRule="auto"/>
        <w:ind w:firstLine="0"/>
        <w:textAlignment w:val="auto"/>
        <w:rPr>
          <w:rFonts w:ascii="HadasaMFOMedium" w:hAnsi="Times New Roman" w:cs="David"/>
          <w:color w:val="auto"/>
          <w:spacing w:val="0"/>
          <w:sz w:val="24"/>
          <w:szCs w:val="24"/>
          <w:rtl/>
          <w:lang w:eastAsia="en-US"/>
        </w:rPr>
      </w:pPr>
      <w:r w:rsidRPr="00A67C98">
        <w:rPr>
          <w:rFonts w:ascii="HadasaMFOMedium" w:hAnsi="Times New Roman" w:cs="David" w:hint="cs"/>
          <w:color w:val="auto"/>
          <w:spacing w:val="0"/>
          <w:sz w:val="24"/>
          <w:szCs w:val="24"/>
          <w:rtl/>
          <w:lang w:eastAsia="en-US"/>
        </w:rPr>
        <w:t>בתיקון</w:t>
      </w:r>
      <w:r>
        <w:rPr>
          <w:rFonts w:ascii="HadasaMFOMedium" w:hAnsi="Times New Roman" w:cs="David" w:hint="cs"/>
          <w:color w:val="auto"/>
          <w:spacing w:val="0"/>
          <w:sz w:val="24"/>
          <w:szCs w:val="24"/>
          <w:rtl/>
          <w:lang w:eastAsia="en-US"/>
        </w:rPr>
        <w:t xml:space="preserve"> מס'</w:t>
      </w:r>
      <w:r w:rsidRPr="00A67C98">
        <w:rPr>
          <w:rFonts w:ascii="HadasaMFOMedium" w:hAnsi="Times New Roman" w:cs="David" w:hint="cs"/>
          <w:color w:val="auto"/>
          <w:spacing w:val="0"/>
          <w:sz w:val="24"/>
          <w:szCs w:val="24"/>
          <w:rtl/>
          <w:lang w:eastAsia="en-US"/>
        </w:rPr>
        <w:t xml:space="preserve"> 33 לחוק </w:t>
      </w:r>
      <w:r>
        <w:rPr>
          <w:rFonts w:ascii="HadasaMFOMedium" w:hAnsi="Times New Roman" w:cs="David" w:hint="cs"/>
          <w:color w:val="auto"/>
          <w:spacing w:val="0"/>
          <w:sz w:val="24"/>
          <w:szCs w:val="24"/>
          <w:rtl/>
          <w:lang w:eastAsia="en-US"/>
        </w:rPr>
        <w:t xml:space="preserve">הרשות השנייה לטלוויזיה ורדיו, התש"ן-1990 (להלן </w:t>
      </w:r>
      <w:r>
        <w:rPr>
          <w:rFonts w:ascii="HadasaMFOMedium" w:hAnsi="Times New Roman" w:cs="David"/>
          <w:color w:val="auto"/>
          <w:spacing w:val="0"/>
          <w:sz w:val="24"/>
          <w:szCs w:val="24"/>
          <w:rtl/>
          <w:lang w:eastAsia="en-US"/>
        </w:rPr>
        <w:t>–</w:t>
      </w:r>
      <w:r>
        <w:rPr>
          <w:rFonts w:ascii="HadasaMFOMedium" w:hAnsi="Times New Roman" w:cs="David" w:hint="cs"/>
          <w:color w:val="auto"/>
          <w:spacing w:val="0"/>
          <w:sz w:val="24"/>
          <w:szCs w:val="24"/>
          <w:rtl/>
          <w:lang w:eastAsia="en-US"/>
        </w:rPr>
        <w:t xml:space="preserve"> החוק), </w:t>
      </w:r>
      <w:r w:rsidRPr="00A67C98">
        <w:rPr>
          <w:rFonts w:ascii="HadasaMFOMedium" w:hAnsi="Times New Roman" w:cs="David" w:hint="cs"/>
          <w:color w:val="auto"/>
          <w:spacing w:val="0"/>
          <w:sz w:val="24"/>
          <w:szCs w:val="24"/>
          <w:rtl/>
          <w:lang w:eastAsia="en-US"/>
        </w:rPr>
        <w:t xml:space="preserve">שונתה </w:t>
      </w:r>
      <w:r w:rsidRPr="00A67C98">
        <w:rPr>
          <w:rFonts w:ascii="HadasaMFOMedium" w:hAnsi="Times New Roman" w:cs="David"/>
          <w:color w:val="auto"/>
          <w:spacing w:val="0"/>
          <w:sz w:val="24"/>
          <w:szCs w:val="24"/>
          <w:rtl/>
          <w:lang w:eastAsia="en-US"/>
        </w:rPr>
        <w:t>שיטת ה</w:t>
      </w:r>
      <w:r>
        <w:rPr>
          <w:rFonts w:ascii="HadasaMFOMedium" w:hAnsi="Times New Roman" w:cs="David" w:hint="cs"/>
          <w:color w:val="auto"/>
          <w:spacing w:val="0"/>
          <w:sz w:val="24"/>
          <w:szCs w:val="24"/>
          <w:rtl/>
          <w:lang w:eastAsia="en-US"/>
        </w:rPr>
        <w:t>א</w:t>
      </w:r>
      <w:r w:rsidRPr="00A67C98">
        <w:rPr>
          <w:rFonts w:ascii="HadasaMFOMedium" w:hAnsi="Times New Roman" w:cs="David"/>
          <w:color w:val="auto"/>
          <w:spacing w:val="0"/>
          <w:sz w:val="24"/>
          <w:szCs w:val="24"/>
          <w:rtl/>
          <w:lang w:eastAsia="en-US"/>
        </w:rPr>
        <w:t>סדרה בתחום</w:t>
      </w:r>
      <w:r w:rsidRPr="00A67C98">
        <w:rPr>
          <w:rFonts w:ascii="HadasaMFOMedium" w:hAnsi="Times New Roman" w:cs="David" w:hint="cs"/>
          <w:color w:val="auto"/>
          <w:spacing w:val="0"/>
          <w:sz w:val="24"/>
          <w:szCs w:val="24"/>
          <w:rtl/>
          <w:lang w:eastAsia="en-US"/>
        </w:rPr>
        <w:t xml:space="preserve"> </w:t>
      </w:r>
      <w:r w:rsidRPr="00A67C98">
        <w:rPr>
          <w:rFonts w:ascii="HadasaMFOMedium" w:hAnsi="Times New Roman" w:cs="David"/>
          <w:color w:val="auto"/>
          <w:spacing w:val="0"/>
          <w:sz w:val="24"/>
          <w:szCs w:val="24"/>
          <w:rtl/>
          <w:lang w:eastAsia="en-US"/>
        </w:rPr>
        <w:t>השידורים המסחריים, כך שלא יוענקו עוד זיכיונות לשידורי</w:t>
      </w:r>
      <w:r w:rsidRPr="00A67C98">
        <w:rPr>
          <w:rFonts w:ascii="HadasaMFOMedium" w:hAnsi="Times New Roman" w:cs="David" w:hint="cs"/>
          <w:color w:val="auto"/>
          <w:spacing w:val="0"/>
          <w:sz w:val="24"/>
          <w:szCs w:val="24"/>
          <w:rtl/>
          <w:lang w:eastAsia="en-US"/>
        </w:rPr>
        <w:t xml:space="preserve"> </w:t>
      </w:r>
      <w:r w:rsidRPr="00A67C98">
        <w:rPr>
          <w:rFonts w:ascii="HadasaMFOMedium" w:hAnsi="Times New Roman" w:cs="David"/>
          <w:color w:val="auto"/>
          <w:spacing w:val="0"/>
          <w:sz w:val="24"/>
          <w:szCs w:val="24"/>
          <w:rtl/>
          <w:lang w:eastAsia="en-US"/>
        </w:rPr>
        <w:t>טלוויזיה מסחריים ובמקומם יוענקו רישיונות לשידורי</w:t>
      </w:r>
      <w:r w:rsidRPr="00A67C98">
        <w:rPr>
          <w:rFonts w:ascii="HadasaMFOMedium" w:hAnsi="Times New Roman" w:cs="David" w:hint="cs"/>
          <w:color w:val="auto"/>
          <w:spacing w:val="0"/>
          <w:sz w:val="24"/>
          <w:szCs w:val="24"/>
          <w:rtl/>
          <w:lang w:eastAsia="en-US"/>
        </w:rPr>
        <w:t xml:space="preserve"> </w:t>
      </w:r>
      <w:r w:rsidRPr="00A67C98">
        <w:rPr>
          <w:rFonts w:ascii="HadasaMFOMedium" w:hAnsi="Times New Roman" w:cs="David"/>
          <w:color w:val="auto"/>
          <w:spacing w:val="0"/>
          <w:sz w:val="24"/>
          <w:szCs w:val="24"/>
          <w:rtl/>
          <w:lang w:eastAsia="en-US"/>
        </w:rPr>
        <w:t xml:space="preserve">טלוויזיה מסחריים </w:t>
      </w:r>
      <w:r w:rsidRPr="00A67C98">
        <w:rPr>
          <w:rFonts w:ascii="HadasaMFOMedium" w:hAnsi="Times New Roman" w:cs="David" w:hint="cs"/>
          <w:color w:val="auto"/>
          <w:spacing w:val="0"/>
          <w:sz w:val="24"/>
          <w:szCs w:val="24"/>
          <w:rtl/>
          <w:lang w:eastAsia="en-US"/>
        </w:rPr>
        <w:t xml:space="preserve"> (</w:t>
      </w:r>
      <w:r w:rsidRPr="00A67C98">
        <w:rPr>
          <w:rFonts w:ascii="HadasaMFOMedium" w:hAnsi="Times New Roman" w:cs="David"/>
          <w:color w:val="auto"/>
          <w:spacing w:val="0"/>
          <w:sz w:val="24"/>
          <w:szCs w:val="24"/>
          <w:rtl/>
          <w:lang w:eastAsia="en-US"/>
        </w:rPr>
        <w:t>להלן</w:t>
      </w:r>
      <w:r>
        <w:rPr>
          <w:rFonts w:ascii="HadasaMFOMedium" w:hAnsi="Times New Roman" w:cs="David" w:hint="cs"/>
          <w:color w:val="auto"/>
          <w:spacing w:val="0"/>
          <w:sz w:val="24"/>
          <w:szCs w:val="24"/>
          <w:rtl/>
          <w:lang w:eastAsia="en-US"/>
        </w:rPr>
        <w:t xml:space="preserve"> - </w:t>
      </w:r>
      <w:r w:rsidRPr="00A67C98">
        <w:rPr>
          <w:rFonts w:ascii="HadasaMFOMedium" w:hAnsi="Times New Roman" w:cs="David"/>
          <w:color w:val="auto"/>
          <w:spacing w:val="0"/>
          <w:sz w:val="24"/>
          <w:szCs w:val="24"/>
          <w:rtl/>
          <w:lang w:eastAsia="en-US"/>
        </w:rPr>
        <w:t>שיטת ה</w:t>
      </w:r>
      <w:r>
        <w:rPr>
          <w:rFonts w:ascii="HadasaMFOMedium" w:hAnsi="Times New Roman" w:cs="David" w:hint="cs"/>
          <w:color w:val="auto"/>
          <w:spacing w:val="0"/>
          <w:sz w:val="24"/>
          <w:szCs w:val="24"/>
          <w:rtl/>
          <w:lang w:eastAsia="en-US"/>
        </w:rPr>
        <w:t>א</w:t>
      </w:r>
      <w:r w:rsidRPr="00A67C98">
        <w:rPr>
          <w:rFonts w:ascii="HadasaMFOMedium" w:hAnsi="Times New Roman" w:cs="David"/>
          <w:color w:val="auto"/>
          <w:spacing w:val="0"/>
          <w:sz w:val="24"/>
          <w:szCs w:val="24"/>
          <w:rtl/>
          <w:lang w:eastAsia="en-US"/>
        </w:rPr>
        <w:t>סדרה</w:t>
      </w:r>
      <w:r>
        <w:rPr>
          <w:rFonts w:ascii="HadasaMFOMedium" w:hAnsi="Times New Roman" w:cs="David" w:hint="cs"/>
          <w:color w:val="auto"/>
          <w:spacing w:val="0"/>
          <w:sz w:val="24"/>
          <w:szCs w:val="24"/>
          <w:rtl/>
          <w:lang w:eastAsia="en-US"/>
        </w:rPr>
        <w:t xml:space="preserve"> החדשה</w:t>
      </w:r>
      <w:r w:rsidRPr="00A67C98">
        <w:rPr>
          <w:rFonts w:ascii="HadasaMFOMedium" w:hAnsi="Times New Roman" w:cs="David" w:hint="cs"/>
          <w:color w:val="auto"/>
          <w:spacing w:val="0"/>
          <w:sz w:val="24"/>
          <w:szCs w:val="24"/>
          <w:rtl/>
          <w:lang w:eastAsia="en-US"/>
        </w:rPr>
        <w:t>).</w:t>
      </w:r>
      <w:r w:rsidR="007F6D9F" w:rsidRPr="007F6D9F">
        <w:rPr>
          <w:rFonts w:ascii="HadasaMFOMedium" w:hAnsi="Times New Roman" w:cs="David" w:hint="cs"/>
          <w:color w:val="auto"/>
          <w:spacing w:val="0"/>
          <w:sz w:val="26"/>
          <w:szCs w:val="26"/>
          <w:highlight w:val="yellow"/>
          <w:rtl/>
          <w:lang w:eastAsia="en-US"/>
        </w:rPr>
        <w:t xml:space="preserve"> </w:t>
      </w:r>
      <w:r w:rsidRPr="00A67C98">
        <w:rPr>
          <w:rFonts w:ascii="HadasaMFOMedium" w:hAnsi="Times New Roman" w:cs="David" w:hint="cs"/>
          <w:color w:val="auto"/>
          <w:spacing w:val="0"/>
          <w:sz w:val="24"/>
          <w:szCs w:val="24"/>
          <w:rtl/>
          <w:lang w:eastAsia="en-US"/>
        </w:rPr>
        <w:t xml:space="preserve"> </w:t>
      </w:r>
    </w:p>
    <w:p w:rsidR="00AF60E5" w:rsidRDefault="00AF60E5" w:rsidP="00AF60E5">
      <w:pPr>
        <w:widowControl/>
        <w:spacing w:before="0" w:line="360" w:lineRule="auto"/>
        <w:ind w:firstLine="0"/>
        <w:textAlignment w:val="auto"/>
        <w:rPr>
          <w:rFonts w:ascii="HadasaMFOMedium" w:hAnsi="Times New Roman" w:cs="David"/>
          <w:color w:val="auto"/>
          <w:spacing w:val="0"/>
          <w:sz w:val="24"/>
          <w:szCs w:val="24"/>
          <w:rtl/>
          <w:lang w:eastAsia="en-US"/>
        </w:rPr>
      </w:pPr>
      <w:r w:rsidRPr="00A67C98">
        <w:rPr>
          <w:rFonts w:ascii="HadasaMFOMedium" w:hAnsi="Times New Roman" w:cs="David" w:hint="cs"/>
          <w:color w:val="auto"/>
          <w:spacing w:val="0"/>
          <w:sz w:val="24"/>
          <w:szCs w:val="24"/>
          <w:rtl/>
          <w:lang w:eastAsia="en-US"/>
        </w:rPr>
        <w:t>בהתאם לקבוע בחוק</w:t>
      </w:r>
      <w:r>
        <w:rPr>
          <w:rFonts w:ascii="HadasaMFOMedium" w:hAnsi="Times New Roman" w:cs="David" w:hint="cs"/>
          <w:color w:val="auto"/>
          <w:spacing w:val="0"/>
          <w:sz w:val="24"/>
          <w:szCs w:val="24"/>
          <w:rtl/>
          <w:lang w:eastAsia="en-US"/>
        </w:rPr>
        <w:t>,</w:t>
      </w:r>
      <w:r w:rsidRPr="00A67C98">
        <w:rPr>
          <w:rFonts w:ascii="HadasaMFOMedium" w:hAnsi="Times New Roman" w:cs="David" w:hint="cs"/>
          <w:color w:val="auto"/>
          <w:spacing w:val="0"/>
          <w:sz w:val="24"/>
          <w:szCs w:val="24"/>
          <w:rtl/>
          <w:lang w:eastAsia="en-US"/>
        </w:rPr>
        <w:t xml:space="preserve"> תקופת הזיכיון </w:t>
      </w:r>
      <w:r>
        <w:rPr>
          <w:rFonts w:ascii="HadasaMFOMedium" w:hAnsi="Times New Roman" w:cs="David" w:hint="cs"/>
          <w:color w:val="auto"/>
          <w:spacing w:val="0"/>
          <w:sz w:val="24"/>
          <w:szCs w:val="24"/>
          <w:rtl/>
          <w:lang w:eastAsia="en-US"/>
        </w:rPr>
        <w:t xml:space="preserve">הנוכחית </w:t>
      </w:r>
      <w:r w:rsidRPr="00A67C98">
        <w:rPr>
          <w:rFonts w:ascii="HadasaMFOMedium" w:hAnsi="Times New Roman" w:cs="David" w:hint="cs"/>
          <w:color w:val="auto"/>
          <w:spacing w:val="0"/>
          <w:sz w:val="24"/>
          <w:szCs w:val="24"/>
          <w:rtl/>
          <w:lang w:eastAsia="en-US"/>
        </w:rPr>
        <w:t>של בעלי הזיכיונות בערוץ 2</w:t>
      </w:r>
      <w:r>
        <w:rPr>
          <w:rFonts w:ascii="HadasaMFOMedium" w:hAnsi="Times New Roman" w:cs="David" w:hint="cs"/>
          <w:color w:val="auto"/>
          <w:spacing w:val="0"/>
          <w:sz w:val="24"/>
          <w:szCs w:val="24"/>
          <w:rtl/>
          <w:lang w:eastAsia="en-US"/>
        </w:rPr>
        <w:t>,</w:t>
      </w:r>
      <w:r w:rsidRPr="00A67C98">
        <w:rPr>
          <w:rFonts w:ascii="HadasaMFOMedium" w:hAnsi="Times New Roman" w:cs="David" w:hint="cs"/>
          <w:color w:val="auto"/>
          <w:spacing w:val="0"/>
          <w:sz w:val="24"/>
          <w:szCs w:val="24"/>
          <w:rtl/>
          <w:lang w:eastAsia="en-US"/>
        </w:rPr>
        <w:t xml:space="preserve"> הי</w:t>
      </w:r>
      <w:r>
        <w:rPr>
          <w:rFonts w:ascii="HadasaMFOMedium" w:hAnsi="Times New Roman" w:cs="David" w:hint="cs"/>
          <w:color w:val="auto"/>
          <w:spacing w:val="0"/>
          <w:sz w:val="24"/>
          <w:szCs w:val="24"/>
          <w:rtl/>
          <w:lang w:eastAsia="en-US"/>
        </w:rPr>
        <w:t>נה</w:t>
      </w:r>
      <w:r w:rsidRPr="00A67C98">
        <w:rPr>
          <w:rFonts w:ascii="HadasaMFOMedium" w:hAnsi="Times New Roman" w:cs="David" w:hint="cs"/>
          <w:color w:val="auto"/>
          <w:spacing w:val="0"/>
          <w:sz w:val="24"/>
          <w:szCs w:val="24"/>
          <w:rtl/>
          <w:lang w:eastAsia="en-US"/>
        </w:rPr>
        <w:t xml:space="preserve"> עד</w:t>
      </w:r>
      <w:r>
        <w:rPr>
          <w:rFonts w:ascii="HadasaMFOMedium" w:hAnsi="Times New Roman" w:cs="David" w:hint="cs"/>
          <w:color w:val="auto"/>
          <w:spacing w:val="0"/>
          <w:sz w:val="24"/>
          <w:szCs w:val="24"/>
          <w:rtl/>
          <w:lang w:eastAsia="en-US"/>
        </w:rPr>
        <w:t xml:space="preserve"> יום 31</w:t>
      </w:r>
      <w:r w:rsidRPr="00A67C98">
        <w:rPr>
          <w:rFonts w:ascii="HadasaMFOMedium" w:hAnsi="Times New Roman" w:cs="David" w:hint="cs"/>
          <w:color w:val="auto"/>
          <w:spacing w:val="0"/>
          <w:sz w:val="24"/>
          <w:szCs w:val="24"/>
          <w:rtl/>
          <w:lang w:eastAsia="en-US"/>
        </w:rPr>
        <w:t xml:space="preserve"> </w:t>
      </w:r>
      <w:r w:rsidR="002F3E23">
        <w:rPr>
          <w:rFonts w:ascii="HadasaMFOMedium" w:hAnsi="Times New Roman" w:cs="David" w:hint="cs"/>
          <w:color w:val="auto"/>
          <w:spacing w:val="0"/>
          <w:sz w:val="24"/>
          <w:szCs w:val="24"/>
          <w:rtl/>
          <w:lang w:eastAsia="en-US"/>
        </w:rPr>
        <w:t>ב</w:t>
      </w:r>
      <w:r w:rsidRPr="00A67C98">
        <w:rPr>
          <w:rFonts w:ascii="HadasaMFOMedium" w:hAnsi="Times New Roman" w:cs="David" w:hint="cs"/>
          <w:color w:val="auto"/>
          <w:spacing w:val="0"/>
          <w:sz w:val="24"/>
          <w:szCs w:val="24"/>
          <w:rtl/>
          <w:lang w:eastAsia="en-US"/>
        </w:rPr>
        <w:t xml:space="preserve">אוקטובר 2015 ואילו תקופת הזיכיון של </w:t>
      </w:r>
      <w:r>
        <w:rPr>
          <w:rFonts w:ascii="HadasaMFOMedium" w:hAnsi="Times New Roman" w:cs="David" w:hint="cs"/>
          <w:color w:val="auto"/>
          <w:spacing w:val="0"/>
          <w:sz w:val="24"/>
          <w:szCs w:val="24"/>
          <w:rtl/>
          <w:lang w:eastAsia="en-US"/>
        </w:rPr>
        <w:t>בעל הזיכיון בערוץ השלישי (</w:t>
      </w:r>
      <w:r w:rsidRPr="00A67C98">
        <w:rPr>
          <w:rFonts w:ascii="HadasaMFOMedium" w:hAnsi="Times New Roman" w:cs="David" w:hint="cs"/>
          <w:color w:val="auto"/>
          <w:spacing w:val="0"/>
          <w:sz w:val="24"/>
          <w:szCs w:val="24"/>
          <w:rtl/>
          <w:lang w:eastAsia="en-US"/>
        </w:rPr>
        <w:t>ערוץ 10</w:t>
      </w:r>
      <w:r>
        <w:rPr>
          <w:rFonts w:ascii="HadasaMFOMedium" w:hAnsi="Times New Roman" w:cs="David" w:hint="cs"/>
          <w:color w:val="auto"/>
          <w:spacing w:val="0"/>
          <w:sz w:val="24"/>
          <w:szCs w:val="24"/>
          <w:rtl/>
          <w:lang w:eastAsia="en-US"/>
        </w:rPr>
        <w:t>)</w:t>
      </w:r>
      <w:r w:rsidRPr="00A67C98">
        <w:rPr>
          <w:rFonts w:ascii="HadasaMFOMedium" w:hAnsi="Times New Roman" w:cs="David" w:hint="cs"/>
          <w:color w:val="auto"/>
          <w:spacing w:val="0"/>
          <w:sz w:val="24"/>
          <w:szCs w:val="24"/>
          <w:rtl/>
          <w:lang w:eastAsia="en-US"/>
        </w:rPr>
        <w:t xml:space="preserve"> הינה עד</w:t>
      </w:r>
      <w:r>
        <w:rPr>
          <w:rFonts w:ascii="HadasaMFOMedium" w:hAnsi="Times New Roman" w:cs="David" w:hint="cs"/>
          <w:color w:val="auto"/>
          <w:spacing w:val="0"/>
          <w:sz w:val="24"/>
          <w:szCs w:val="24"/>
          <w:rtl/>
          <w:lang w:eastAsia="en-US"/>
        </w:rPr>
        <w:t xml:space="preserve"> יום 31</w:t>
      </w:r>
      <w:r w:rsidRPr="00A67C98">
        <w:rPr>
          <w:rFonts w:ascii="HadasaMFOMedium" w:hAnsi="Times New Roman" w:cs="David" w:hint="cs"/>
          <w:color w:val="auto"/>
          <w:spacing w:val="0"/>
          <w:sz w:val="24"/>
          <w:szCs w:val="24"/>
          <w:rtl/>
          <w:lang w:eastAsia="en-US"/>
        </w:rPr>
        <w:t xml:space="preserve"> </w:t>
      </w:r>
      <w:r>
        <w:rPr>
          <w:rFonts w:ascii="HadasaMFOMedium" w:hAnsi="Times New Roman" w:cs="David" w:hint="cs"/>
          <w:color w:val="auto"/>
          <w:spacing w:val="0"/>
          <w:sz w:val="24"/>
          <w:szCs w:val="24"/>
          <w:rtl/>
          <w:lang w:eastAsia="en-US"/>
        </w:rPr>
        <w:t>בדצמבר</w:t>
      </w:r>
      <w:r w:rsidRPr="00A67C98">
        <w:rPr>
          <w:rFonts w:ascii="HadasaMFOMedium" w:hAnsi="Times New Roman" w:cs="David" w:hint="cs"/>
          <w:color w:val="auto"/>
          <w:spacing w:val="0"/>
          <w:sz w:val="24"/>
          <w:szCs w:val="24"/>
          <w:rtl/>
          <w:lang w:eastAsia="en-US"/>
        </w:rPr>
        <w:t xml:space="preserve"> 2014. </w:t>
      </w:r>
    </w:p>
    <w:p w:rsidR="007F6D9F" w:rsidRPr="007F6D9F" w:rsidRDefault="007F6D9F" w:rsidP="00B553AE">
      <w:pPr>
        <w:widowControl/>
        <w:spacing w:before="0" w:line="360" w:lineRule="auto"/>
        <w:ind w:firstLine="0"/>
        <w:textAlignment w:val="auto"/>
        <w:rPr>
          <w:rFonts w:ascii="HadasaMFOMedium" w:hAnsi="Times New Roman" w:cs="David"/>
          <w:color w:val="auto"/>
          <w:spacing w:val="0"/>
          <w:sz w:val="24"/>
          <w:szCs w:val="24"/>
          <w:rtl/>
          <w:lang w:eastAsia="en-US"/>
        </w:rPr>
      </w:pPr>
      <w:r w:rsidRPr="00EC2CE1">
        <w:rPr>
          <w:rFonts w:ascii="HadasaMFOMedium" w:hAnsi="Times New Roman" w:cs="David" w:hint="cs"/>
          <w:color w:val="auto"/>
          <w:spacing w:val="0"/>
          <w:sz w:val="24"/>
          <w:szCs w:val="24"/>
          <w:rtl/>
          <w:lang w:eastAsia="en-US"/>
        </w:rPr>
        <w:t xml:space="preserve">ההסדר המשלים לעניין זה </w:t>
      </w:r>
      <w:r w:rsidR="00B553AE" w:rsidRPr="00EC2CE1">
        <w:rPr>
          <w:rFonts w:ascii="HadasaMFOMedium" w:hAnsi="Times New Roman" w:cs="David" w:hint="cs"/>
          <w:color w:val="auto"/>
          <w:spacing w:val="0"/>
          <w:sz w:val="24"/>
          <w:szCs w:val="24"/>
          <w:rtl/>
          <w:lang w:eastAsia="en-US"/>
        </w:rPr>
        <w:t>קבוע</w:t>
      </w:r>
      <w:r w:rsidRPr="00EC2CE1">
        <w:rPr>
          <w:rFonts w:ascii="HadasaMFOMedium" w:hAnsi="Times New Roman" w:cs="David" w:hint="cs"/>
          <w:color w:val="auto"/>
          <w:spacing w:val="0"/>
          <w:sz w:val="24"/>
          <w:szCs w:val="24"/>
          <w:rtl/>
          <w:lang w:eastAsia="en-US"/>
        </w:rPr>
        <w:t xml:space="preserve"> בסעיף 6כא1 לחוק התקשורת הנוגע להקצאת האפיקים לגופים המשדרים השונים.</w:t>
      </w:r>
    </w:p>
    <w:p w:rsidR="00AF60E5" w:rsidRPr="00A67C98" w:rsidRDefault="00AF60E5" w:rsidP="00AF60E5">
      <w:pPr>
        <w:widowControl/>
        <w:spacing w:before="0" w:line="360" w:lineRule="auto"/>
        <w:ind w:firstLine="0"/>
        <w:textAlignment w:val="auto"/>
        <w:rPr>
          <w:rFonts w:ascii="HadasaMFOMedium" w:hAnsi="Times New Roman" w:cs="David"/>
          <w:color w:val="auto"/>
          <w:spacing w:val="0"/>
          <w:sz w:val="24"/>
          <w:szCs w:val="24"/>
          <w:rtl/>
          <w:lang w:eastAsia="en-US"/>
        </w:rPr>
      </w:pPr>
      <w:r>
        <w:rPr>
          <w:rFonts w:ascii="HadasaMFOMedium" w:hAnsi="Times New Roman" w:cs="David" w:hint="cs"/>
          <w:color w:val="auto"/>
          <w:spacing w:val="0"/>
          <w:sz w:val="24"/>
          <w:szCs w:val="24"/>
          <w:rtl/>
          <w:lang w:eastAsia="en-US"/>
        </w:rPr>
        <w:t>ה</w:t>
      </w:r>
      <w:r w:rsidRPr="00A67C98">
        <w:rPr>
          <w:rFonts w:ascii="HadasaMFOMedium" w:hAnsi="Times New Roman" w:cs="David" w:hint="cs"/>
          <w:color w:val="auto"/>
          <w:spacing w:val="0"/>
          <w:sz w:val="24"/>
          <w:szCs w:val="24"/>
          <w:rtl/>
          <w:lang w:eastAsia="en-US"/>
        </w:rPr>
        <w:t xml:space="preserve">חוק </w:t>
      </w:r>
      <w:r>
        <w:rPr>
          <w:rFonts w:ascii="HadasaMFOMedium" w:hAnsi="Times New Roman" w:cs="David" w:hint="cs"/>
          <w:color w:val="auto"/>
          <w:spacing w:val="0"/>
          <w:sz w:val="24"/>
          <w:szCs w:val="24"/>
          <w:rtl/>
          <w:lang w:eastAsia="en-US"/>
        </w:rPr>
        <w:t xml:space="preserve">קובע </w:t>
      </w:r>
      <w:r w:rsidRPr="00A67C98">
        <w:rPr>
          <w:rFonts w:ascii="HadasaMFOMedium" w:hAnsi="Times New Roman" w:cs="David" w:hint="cs"/>
          <w:color w:val="auto"/>
          <w:spacing w:val="0"/>
          <w:sz w:val="24"/>
          <w:szCs w:val="24"/>
          <w:rtl/>
          <w:lang w:eastAsia="en-US"/>
        </w:rPr>
        <w:t>כי בעלי הזיכיונות בערוצים 2 ו</w:t>
      </w:r>
      <w:r>
        <w:rPr>
          <w:rFonts w:ascii="HadasaMFOMedium" w:hAnsi="Times New Roman" w:cs="David" w:hint="cs"/>
          <w:color w:val="auto"/>
          <w:spacing w:val="0"/>
          <w:sz w:val="24"/>
          <w:szCs w:val="24"/>
          <w:rtl/>
          <w:lang w:eastAsia="en-US"/>
        </w:rPr>
        <w:t xml:space="preserve">-10 </w:t>
      </w:r>
      <w:r w:rsidRPr="00A67C98">
        <w:rPr>
          <w:rFonts w:ascii="HadasaMFOMedium" w:hAnsi="Times New Roman" w:cs="David" w:hint="cs"/>
          <w:color w:val="auto"/>
          <w:spacing w:val="0"/>
          <w:sz w:val="24"/>
          <w:szCs w:val="24"/>
          <w:rtl/>
          <w:lang w:eastAsia="en-US"/>
        </w:rPr>
        <w:t xml:space="preserve">רשאים להגיש בקשות לקבלת רישיונות לשידורי טלוויזיה, עד למועד של שנה לפני תום זיכיונם. </w:t>
      </w:r>
    </w:p>
    <w:p w:rsidR="00AF60E5" w:rsidRDefault="00AF60E5" w:rsidP="00AF60E5">
      <w:pPr>
        <w:widowControl/>
        <w:spacing w:before="0" w:line="360" w:lineRule="auto"/>
        <w:ind w:firstLine="0"/>
        <w:textAlignment w:val="auto"/>
        <w:rPr>
          <w:rFonts w:ascii="HadasaMFOMedium" w:hAnsi="Times New Roman" w:cs="David"/>
          <w:color w:val="auto"/>
          <w:spacing w:val="0"/>
          <w:sz w:val="24"/>
          <w:szCs w:val="24"/>
          <w:rtl/>
          <w:lang w:eastAsia="en-US"/>
        </w:rPr>
      </w:pPr>
      <w:r w:rsidRPr="00A67C98">
        <w:rPr>
          <w:rFonts w:ascii="HadasaMFOMedium" w:hAnsi="Times New Roman" w:cs="David" w:hint="cs"/>
          <w:color w:val="auto"/>
          <w:spacing w:val="0"/>
          <w:sz w:val="24"/>
          <w:szCs w:val="24"/>
          <w:rtl/>
          <w:lang w:eastAsia="en-US"/>
        </w:rPr>
        <w:t xml:space="preserve">בהתאם לכך, </w:t>
      </w:r>
      <w:r>
        <w:rPr>
          <w:rFonts w:ascii="HadasaMFOMedium" w:hAnsi="Times New Roman" w:cs="David"/>
          <w:color w:val="auto"/>
          <w:spacing w:val="0"/>
          <w:sz w:val="24"/>
          <w:szCs w:val="24"/>
          <w:rtl/>
          <w:lang w:eastAsia="en-US"/>
        </w:rPr>
        <w:t>"</w:t>
      </w:r>
      <w:r>
        <w:rPr>
          <w:rFonts w:ascii="HadasaMFOMedium" w:hAnsi="Times New Roman" w:cs="David" w:hint="cs"/>
          <w:color w:val="auto"/>
          <w:spacing w:val="0"/>
          <w:sz w:val="24"/>
          <w:szCs w:val="24"/>
          <w:rtl/>
          <w:lang w:eastAsia="en-US"/>
        </w:rPr>
        <w:t>ישראל 10</w:t>
      </w:r>
      <w:r>
        <w:rPr>
          <w:rFonts w:ascii="HadasaMFOMedium" w:hAnsi="Times New Roman" w:cs="David"/>
          <w:color w:val="auto"/>
          <w:spacing w:val="0"/>
          <w:sz w:val="24"/>
          <w:szCs w:val="24"/>
          <w:rtl/>
          <w:lang w:eastAsia="en-US"/>
        </w:rPr>
        <w:t>"</w:t>
      </w:r>
      <w:r>
        <w:rPr>
          <w:rFonts w:ascii="HadasaMFOMedium" w:hAnsi="Times New Roman" w:cs="David" w:hint="cs"/>
          <w:color w:val="auto"/>
          <w:spacing w:val="0"/>
          <w:sz w:val="24"/>
          <w:szCs w:val="24"/>
          <w:rtl/>
          <w:lang w:eastAsia="en-US"/>
        </w:rPr>
        <w:t>, בעלת הזיכיון בערוץ 10,</w:t>
      </w:r>
      <w:r w:rsidRPr="00A67C98">
        <w:rPr>
          <w:rFonts w:ascii="HadasaMFOMedium" w:hAnsi="Times New Roman" w:cs="David" w:hint="cs"/>
          <w:color w:val="auto"/>
          <w:spacing w:val="0"/>
          <w:sz w:val="24"/>
          <w:szCs w:val="24"/>
          <w:rtl/>
          <w:lang w:eastAsia="en-US"/>
        </w:rPr>
        <w:t xml:space="preserve"> הייתה רשאית להגיש בקש</w:t>
      </w:r>
      <w:r>
        <w:rPr>
          <w:rFonts w:ascii="HadasaMFOMedium" w:hAnsi="Times New Roman" w:cs="David" w:hint="cs"/>
          <w:color w:val="auto"/>
          <w:spacing w:val="0"/>
          <w:sz w:val="24"/>
          <w:szCs w:val="24"/>
          <w:rtl/>
          <w:lang w:eastAsia="en-US"/>
        </w:rPr>
        <w:t>ה</w:t>
      </w:r>
      <w:r w:rsidRPr="00A67C98">
        <w:rPr>
          <w:rFonts w:ascii="HadasaMFOMedium" w:hAnsi="Times New Roman" w:cs="David" w:hint="cs"/>
          <w:color w:val="auto"/>
          <w:spacing w:val="0"/>
          <w:sz w:val="24"/>
          <w:szCs w:val="24"/>
          <w:rtl/>
          <w:lang w:eastAsia="en-US"/>
        </w:rPr>
        <w:t xml:space="preserve"> לרישיון עד יום </w:t>
      </w:r>
      <w:r>
        <w:rPr>
          <w:rFonts w:ascii="HadasaMFOMedium" w:hAnsi="Times New Roman" w:cs="David" w:hint="cs"/>
          <w:color w:val="auto"/>
          <w:spacing w:val="0"/>
          <w:sz w:val="24"/>
          <w:szCs w:val="24"/>
          <w:rtl/>
          <w:lang w:eastAsia="en-US"/>
        </w:rPr>
        <w:t xml:space="preserve">31 בדצמבר 2013 </w:t>
      </w:r>
      <w:r w:rsidRPr="00A67C98">
        <w:rPr>
          <w:rFonts w:ascii="HadasaMFOMedium" w:hAnsi="Times New Roman" w:cs="David" w:hint="cs"/>
          <w:color w:val="auto"/>
          <w:spacing w:val="0"/>
          <w:sz w:val="24"/>
          <w:szCs w:val="24"/>
          <w:rtl/>
          <w:lang w:eastAsia="en-US"/>
        </w:rPr>
        <w:t>ו</w:t>
      </w:r>
      <w:r>
        <w:rPr>
          <w:rFonts w:ascii="HadasaMFOMedium" w:hAnsi="Times New Roman" w:cs="David" w:hint="cs"/>
          <w:color w:val="auto"/>
          <w:spacing w:val="0"/>
          <w:sz w:val="24"/>
          <w:szCs w:val="24"/>
          <w:rtl/>
          <w:lang w:eastAsia="en-US"/>
        </w:rPr>
        <w:t xml:space="preserve">"קשת" ו"רשת", </w:t>
      </w:r>
      <w:r w:rsidRPr="00A67C98">
        <w:rPr>
          <w:rFonts w:ascii="HadasaMFOMedium" w:hAnsi="Times New Roman" w:cs="David" w:hint="cs"/>
          <w:color w:val="auto"/>
          <w:spacing w:val="0"/>
          <w:sz w:val="24"/>
          <w:szCs w:val="24"/>
          <w:rtl/>
          <w:lang w:eastAsia="en-US"/>
        </w:rPr>
        <w:t>בעל</w:t>
      </w:r>
      <w:r>
        <w:rPr>
          <w:rFonts w:ascii="HadasaMFOMedium" w:hAnsi="Times New Roman" w:cs="David" w:hint="cs"/>
          <w:color w:val="auto"/>
          <w:spacing w:val="0"/>
          <w:sz w:val="24"/>
          <w:szCs w:val="24"/>
          <w:rtl/>
          <w:lang w:eastAsia="en-US"/>
        </w:rPr>
        <w:t>ות</w:t>
      </w:r>
      <w:r w:rsidRPr="00A67C98">
        <w:rPr>
          <w:rFonts w:ascii="HadasaMFOMedium" w:hAnsi="Times New Roman" w:cs="David" w:hint="cs"/>
          <w:color w:val="auto"/>
          <w:spacing w:val="0"/>
          <w:sz w:val="24"/>
          <w:szCs w:val="24"/>
          <w:rtl/>
          <w:lang w:eastAsia="en-US"/>
        </w:rPr>
        <w:t xml:space="preserve"> </w:t>
      </w:r>
      <w:r>
        <w:rPr>
          <w:rFonts w:ascii="HadasaMFOMedium" w:hAnsi="Times New Roman" w:cs="David" w:hint="cs"/>
          <w:color w:val="auto"/>
          <w:spacing w:val="0"/>
          <w:sz w:val="24"/>
          <w:szCs w:val="24"/>
          <w:rtl/>
          <w:lang w:eastAsia="en-US"/>
        </w:rPr>
        <w:t>ה</w:t>
      </w:r>
      <w:r w:rsidRPr="00A67C98">
        <w:rPr>
          <w:rFonts w:ascii="HadasaMFOMedium" w:hAnsi="Times New Roman" w:cs="David" w:hint="cs"/>
          <w:color w:val="auto"/>
          <w:spacing w:val="0"/>
          <w:sz w:val="24"/>
          <w:szCs w:val="24"/>
          <w:rtl/>
          <w:lang w:eastAsia="en-US"/>
        </w:rPr>
        <w:t>זיכיו</w:t>
      </w:r>
      <w:r>
        <w:rPr>
          <w:rFonts w:ascii="HadasaMFOMedium" w:hAnsi="Times New Roman" w:cs="David" w:hint="cs"/>
          <w:color w:val="auto"/>
          <w:spacing w:val="0"/>
          <w:sz w:val="24"/>
          <w:szCs w:val="24"/>
          <w:rtl/>
          <w:lang w:eastAsia="en-US"/>
        </w:rPr>
        <w:t>נות</w:t>
      </w:r>
      <w:r w:rsidRPr="00A67C98">
        <w:rPr>
          <w:rFonts w:ascii="HadasaMFOMedium" w:hAnsi="Times New Roman" w:cs="David" w:hint="cs"/>
          <w:color w:val="auto"/>
          <w:spacing w:val="0"/>
          <w:sz w:val="24"/>
          <w:szCs w:val="24"/>
          <w:rtl/>
          <w:lang w:eastAsia="en-US"/>
        </w:rPr>
        <w:t xml:space="preserve"> בערוץ 2</w:t>
      </w:r>
      <w:r>
        <w:rPr>
          <w:rFonts w:ascii="HadasaMFOMedium" w:hAnsi="Times New Roman" w:cs="David" w:hint="cs"/>
          <w:color w:val="auto"/>
          <w:spacing w:val="0"/>
          <w:sz w:val="24"/>
          <w:szCs w:val="24"/>
          <w:rtl/>
          <w:lang w:eastAsia="en-US"/>
        </w:rPr>
        <w:t>,</w:t>
      </w:r>
      <w:r w:rsidRPr="00A67C98">
        <w:rPr>
          <w:rFonts w:ascii="HadasaMFOMedium" w:hAnsi="Times New Roman" w:cs="David" w:hint="cs"/>
          <w:color w:val="auto"/>
          <w:spacing w:val="0"/>
          <w:sz w:val="24"/>
          <w:szCs w:val="24"/>
          <w:rtl/>
          <w:lang w:eastAsia="en-US"/>
        </w:rPr>
        <w:t xml:space="preserve"> </w:t>
      </w:r>
      <w:r>
        <w:rPr>
          <w:rFonts w:ascii="HadasaMFOMedium" w:hAnsi="Times New Roman" w:cs="David" w:hint="cs"/>
          <w:color w:val="auto"/>
          <w:spacing w:val="0"/>
          <w:sz w:val="24"/>
          <w:szCs w:val="24"/>
          <w:rtl/>
          <w:lang w:eastAsia="en-US"/>
        </w:rPr>
        <w:t>רשאיות</w:t>
      </w:r>
      <w:r w:rsidRPr="00A67C98">
        <w:rPr>
          <w:rFonts w:ascii="HadasaMFOMedium" w:hAnsi="Times New Roman" w:cs="David" w:hint="cs"/>
          <w:color w:val="auto"/>
          <w:spacing w:val="0"/>
          <w:sz w:val="24"/>
          <w:szCs w:val="24"/>
          <w:rtl/>
          <w:lang w:eastAsia="en-US"/>
        </w:rPr>
        <w:t xml:space="preserve"> להגיש בקשה לרישיון עד </w:t>
      </w:r>
      <w:r>
        <w:rPr>
          <w:rFonts w:ascii="HadasaMFOMedium" w:hAnsi="Times New Roman" w:cs="David" w:hint="cs"/>
          <w:color w:val="auto"/>
          <w:spacing w:val="0"/>
          <w:sz w:val="24"/>
          <w:szCs w:val="24"/>
          <w:rtl/>
          <w:lang w:eastAsia="en-US"/>
        </w:rPr>
        <w:t>יום 31</w:t>
      </w:r>
      <w:r w:rsidRPr="00A67C98">
        <w:rPr>
          <w:rFonts w:ascii="HadasaMFOMedium" w:hAnsi="Times New Roman" w:cs="David" w:hint="cs"/>
          <w:color w:val="auto"/>
          <w:spacing w:val="0"/>
          <w:sz w:val="24"/>
          <w:szCs w:val="24"/>
          <w:rtl/>
          <w:lang w:eastAsia="en-US"/>
        </w:rPr>
        <w:t xml:space="preserve"> </w:t>
      </w:r>
      <w:r>
        <w:rPr>
          <w:rFonts w:ascii="HadasaMFOMedium" w:hAnsi="Times New Roman" w:cs="David" w:hint="cs"/>
          <w:color w:val="auto"/>
          <w:spacing w:val="0"/>
          <w:sz w:val="24"/>
          <w:szCs w:val="24"/>
          <w:rtl/>
          <w:lang w:eastAsia="en-US"/>
        </w:rPr>
        <w:t>ב</w:t>
      </w:r>
      <w:r w:rsidRPr="00A67C98">
        <w:rPr>
          <w:rFonts w:ascii="HadasaMFOMedium" w:hAnsi="Times New Roman" w:cs="David" w:hint="cs"/>
          <w:color w:val="auto"/>
          <w:spacing w:val="0"/>
          <w:sz w:val="24"/>
          <w:szCs w:val="24"/>
          <w:rtl/>
          <w:lang w:eastAsia="en-US"/>
        </w:rPr>
        <w:t xml:space="preserve">אוקטובר 2014. </w:t>
      </w:r>
    </w:p>
    <w:p w:rsidR="00283684" w:rsidRDefault="00283684" w:rsidP="00AF60E5">
      <w:pPr>
        <w:widowControl/>
        <w:spacing w:before="0" w:line="360" w:lineRule="auto"/>
        <w:ind w:firstLine="0"/>
        <w:textAlignment w:val="auto"/>
        <w:rPr>
          <w:rFonts w:ascii="HadasaMFOMedium" w:hAnsi="Times New Roman" w:cs="David"/>
          <w:color w:val="auto"/>
          <w:spacing w:val="0"/>
          <w:sz w:val="24"/>
          <w:szCs w:val="24"/>
          <w:rtl/>
          <w:lang w:eastAsia="en-US"/>
        </w:rPr>
      </w:pPr>
    </w:p>
    <w:p w:rsidR="00AF60E5" w:rsidRPr="00A67C98" w:rsidRDefault="00AF60E5" w:rsidP="00AF60E5">
      <w:pPr>
        <w:widowControl/>
        <w:spacing w:before="0" w:line="360" w:lineRule="auto"/>
        <w:ind w:firstLine="0"/>
        <w:textAlignment w:val="auto"/>
        <w:rPr>
          <w:rFonts w:ascii="HadasaMFOMedium" w:hAnsi="Times New Roman" w:cs="David"/>
          <w:color w:val="auto"/>
          <w:spacing w:val="0"/>
          <w:sz w:val="24"/>
          <w:szCs w:val="24"/>
          <w:rtl/>
          <w:lang w:eastAsia="en-US"/>
        </w:rPr>
      </w:pPr>
      <w:r>
        <w:rPr>
          <w:rFonts w:ascii="HadasaMFOMedium" w:hAnsi="Times New Roman" w:cs="David" w:hint="cs"/>
          <w:color w:val="auto"/>
          <w:spacing w:val="0"/>
          <w:sz w:val="24"/>
          <w:szCs w:val="24"/>
          <w:rtl/>
          <w:lang w:eastAsia="en-US"/>
        </w:rPr>
        <w:t xml:space="preserve">בתיקון מס' 37 לחוק, הוסף </w:t>
      </w:r>
      <w:r w:rsidRPr="00A67C98">
        <w:rPr>
          <w:rFonts w:ascii="HadasaMFOMedium" w:hAnsi="Times New Roman" w:cs="David" w:hint="cs"/>
          <w:color w:val="auto"/>
          <w:spacing w:val="0"/>
          <w:sz w:val="24"/>
          <w:szCs w:val="24"/>
          <w:rtl/>
          <w:lang w:eastAsia="en-US"/>
        </w:rPr>
        <w:t xml:space="preserve">סעיף 34(ב3) </w:t>
      </w:r>
      <w:r>
        <w:rPr>
          <w:rFonts w:ascii="HadasaMFOMedium" w:hAnsi="Times New Roman" w:cs="David" w:hint="cs"/>
          <w:color w:val="auto"/>
          <w:spacing w:val="0"/>
          <w:sz w:val="24"/>
          <w:szCs w:val="24"/>
          <w:rtl/>
          <w:lang w:eastAsia="en-US"/>
        </w:rPr>
        <w:t>ה</w:t>
      </w:r>
      <w:r w:rsidRPr="00A67C98">
        <w:rPr>
          <w:rFonts w:ascii="HadasaMFOMedium" w:hAnsi="Times New Roman" w:cs="David" w:hint="cs"/>
          <w:color w:val="auto"/>
          <w:spacing w:val="0"/>
          <w:sz w:val="24"/>
          <w:szCs w:val="24"/>
          <w:rtl/>
          <w:lang w:eastAsia="en-US"/>
        </w:rPr>
        <w:t>קובע כי בעלי זיכיו</w:t>
      </w:r>
      <w:r>
        <w:rPr>
          <w:rFonts w:ascii="HadasaMFOMedium" w:hAnsi="Times New Roman" w:cs="David" w:hint="cs"/>
          <w:color w:val="auto"/>
          <w:spacing w:val="0"/>
          <w:sz w:val="24"/>
          <w:szCs w:val="24"/>
          <w:rtl/>
          <w:lang w:eastAsia="en-US"/>
        </w:rPr>
        <w:t>נות</w:t>
      </w:r>
      <w:r w:rsidRPr="00A67C98">
        <w:rPr>
          <w:rFonts w:ascii="HadasaMFOMedium" w:hAnsi="Times New Roman" w:cs="David" w:hint="cs"/>
          <w:color w:val="auto"/>
          <w:spacing w:val="0"/>
          <w:sz w:val="24"/>
          <w:szCs w:val="24"/>
          <w:rtl/>
          <w:lang w:eastAsia="en-US"/>
        </w:rPr>
        <w:t xml:space="preserve"> לשידורי טלוויזיה בערוץ 2, רשאים להמשיך ולפעול במסגרת הזיכיון, בכפוף להסכמה הדדית, </w:t>
      </w:r>
      <w:r>
        <w:rPr>
          <w:rFonts w:ascii="HadasaMFOMedium" w:hAnsi="Times New Roman" w:cs="David" w:hint="cs"/>
          <w:color w:val="auto"/>
          <w:spacing w:val="0"/>
          <w:sz w:val="24"/>
          <w:szCs w:val="24"/>
          <w:rtl/>
          <w:lang w:eastAsia="en-US"/>
        </w:rPr>
        <w:t>ל</w:t>
      </w:r>
      <w:r w:rsidRPr="00A67C98">
        <w:rPr>
          <w:rFonts w:ascii="HadasaMFOMedium" w:hAnsi="Times New Roman" w:cs="David" w:hint="cs"/>
          <w:color w:val="auto"/>
          <w:spacing w:val="0"/>
          <w:sz w:val="24"/>
          <w:szCs w:val="24"/>
          <w:rtl/>
          <w:lang w:eastAsia="en-US"/>
        </w:rPr>
        <w:t xml:space="preserve">תקופה נוספת של שנתיים, היינו עד יום </w:t>
      </w:r>
      <w:r>
        <w:rPr>
          <w:rFonts w:ascii="HadasaMFOMedium" w:hAnsi="Times New Roman" w:cs="David" w:hint="cs"/>
          <w:color w:val="auto"/>
          <w:spacing w:val="0"/>
          <w:sz w:val="24"/>
          <w:szCs w:val="24"/>
          <w:rtl/>
          <w:lang w:eastAsia="en-US"/>
        </w:rPr>
        <w:t>31</w:t>
      </w:r>
      <w:r w:rsidRPr="00A67C98">
        <w:rPr>
          <w:rFonts w:ascii="HadasaMFOMedium" w:hAnsi="Times New Roman" w:cs="David" w:hint="cs"/>
          <w:color w:val="auto"/>
          <w:spacing w:val="0"/>
          <w:sz w:val="24"/>
          <w:szCs w:val="24"/>
          <w:rtl/>
          <w:lang w:eastAsia="en-US"/>
        </w:rPr>
        <w:t xml:space="preserve"> </w:t>
      </w:r>
      <w:r>
        <w:rPr>
          <w:rFonts w:ascii="HadasaMFOMedium" w:hAnsi="Times New Roman" w:cs="David" w:hint="cs"/>
          <w:color w:val="auto"/>
          <w:spacing w:val="0"/>
          <w:sz w:val="24"/>
          <w:szCs w:val="24"/>
          <w:rtl/>
          <w:lang w:eastAsia="en-US"/>
        </w:rPr>
        <w:t>ב</w:t>
      </w:r>
      <w:r w:rsidRPr="00A67C98">
        <w:rPr>
          <w:rFonts w:ascii="HadasaMFOMedium" w:hAnsi="Times New Roman" w:cs="David" w:hint="cs"/>
          <w:color w:val="auto"/>
          <w:spacing w:val="0"/>
          <w:sz w:val="24"/>
          <w:szCs w:val="24"/>
          <w:rtl/>
          <w:lang w:eastAsia="en-US"/>
        </w:rPr>
        <w:t>אוקטובר</w:t>
      </w:r>
      <w:r>
        <w:rPr>
          <w:rFonts w:ascii="HadasaMFOMedium" w:hAnsi="Times New Roman" w:cs="David" w:hint="cs"/>
          <w:color w:val="auto"/>
          <w:spacing w:val="0"/>
          <w:sz w:val="24"/>
          <w:szCs w:val="24"/>
          <w:rtl/>
          <w:lang w:eastAsia="en-US"/>
        </w:rPr>
        <w:t xml:space="preserve"> 2017, וככל שיעשו כן, מועד בקשתם לקבלת רישיון יהיה שנה לפני תום זיכיונם לאחר הארכה זו</w:t>
      </w:r>
      <w:r w:rsidRPr="00A67C98">
        <w:rPr>
          <w:rFonts w:ascii="HadasaMFOMedium" w:hAnsi="Times New Roman" w:cs="David" w:hint="cs"/>
          <w:color w:val="auto"/>
          <w:spacing w:val="0"/>
          <w:sz w:val="24"/>
          <w:szCs w:val="24"/>
          <w:rtl/>
          <w:lang w:eastAsia="en-US"/>
        </w:rPr>
        <w:t xml:space="preserve">. </w:t>
      </w:r>
    </w:p>
    <w:p w:rsidR="00375147" w:rsidRDefault="00375147" w:rsidP="00283684">
      <w:pPr>
        <w:widowControl/>
        <w:tabs>
          <w:tab w:val="left" w:pos="6728"/>
        </w:tabs>
        <w:spacing w:before="0" w:line="360" w:lineRule="auto"/>
        <w:ind w:firstLine="0"/>
        <w:textAlignment w:val="auto"/>
        <w:rPr>
          <w:rFonts w:cs="David"/>
          <w:sz w:val="24"/>
          <w:szCs w:val="24"/>
          <w:rtl/>
        </w:rPr>
      </w:pPr>
    </w:p>
    <w:p w:rsidR="00AF60E5" w:rsidRDefault="00283684" w:rsidP="00614F32">
      <w:pPr>
        <w:widowControl/>
        <w:tabs>
          <w:tab w:val="left" w:pos="6728"/>
        </w:tabs>
        <w:spacing w:before="0" w:line="360" w:lineRule="auto"/>
        <w:ind w:firstLine="0"/>
        <w:textAlignment w:val="auto"/>
        <w:rPr>
          <w:rFonts w:cs="David"/>
          <w:sz w:val="24"/>
          <w:szCs w:val="24"/>
          <w:rtl/>
        </w:rPr>
      </w:pPr>
      <w:r>
        <w:rPr>
          <w:rFonts w:cs="David" w:hint="cs"/>
          <w:sz w:val="24"/>
          <w:szCs w:val="24"/>
          <w:rtl/>
        </w:rPr>
        <w:t>על מ</w:t>
      </w:r>
      <w:r w:rsidR="00CE772F">
        <w:rPr>
          <w:rFonts w:cs="David" w:hint="cs"/>
          <w:sz w:val="24"/>
          <w:szCs w:val="24"/>
          <w:rtl/>
        </w:rPr>
        <w:t>נ</w:t>
      </w:r>
      <w:r>
        <w:rPr>
          <w:rFonts w:cs="David" w:hint="cs"/>
          <w:sz w:val="24"/>
          <w:szCs w:val="24"/>
          <w:rtl/>
        </w:rPr>
        <w:t>ת לשמור על תחרות ופלורליזם</w:t>
      </w:r>
      <w:r w:rsidR="00AF60E5">
        <w:rPr>
          <w:rFonts w:cs="David" w:hint="cs"/>
          <w:sz w:val="24"/>
          <w:szCs w:val="24"/>
          <w:rtl/>
        </w:rPr>
        <w:t xml:space="preserve"> בתחום שידורי הטלוויזיה המסחריים ובתחום שידורי החדשות המסחריים</w:t>
      </w:r>
      <w:r>
        <w:rPr>
          <w:rFonts w:cs="David" w:hint="cs"/>
          <w:sz w:val="24"/>
          <w:szCs w:val="24"/>
          <w:rtl/>
        </w:rPr>
        <w:t xml:space="preserve"> </w:t>
      </w:r>
      <w:r w:rsidR="00AF60E5" w:rsidRPr="00786562">
        <w:rPr>
          <w:rFonts w:cs="David" w:hint="cs"/>
          <w:sz w:val="24"/>
          <w:szCs w:val="24"/>
          <w:rtl/>
        </w:rPr>
        <w:t>ועל בסיס המלצות הרשות השני</w:t>
      </w:r>
      <w:r w:rsidR="00AF60E5">
        <w:rPr>
          <w:rFonts w:cs="David" w:hint="cs"/>
          <w:sz w:val="24"/>
          <w:szCs w:val="24"/>
          <w:rtl/>
        </w:rPr>
        <w:t>י</w:t>
      </w:r>
      <w:r w:rsidR="00AF60E5" w:rsidRPr="00786562">
        <w:rPr>
          <w:rFonts w:cs="David" w:hint="cs"/>
          <w:sz w:val="24"/>
          <w:szCs w:val="24"/>
          <w:rtl/>
        </w:rPr>
        <w:t>ה</w:t>
      </w:r>
      <w:r w:rsidR="00AF60E5">
        <w:rPr>
          <w:rFonts w:cs="David" w:hint="cs"/>
          <w:sz w:val="24"/>
          <w:szCs w:val="24"/>
          <w:rtl/>
        </w:rPr>
        <w:t>,</w:t>
      </w:r>
      <w:r w:rsidR="00AF60E5" w:rsidRPr="00786562">
        <w:rPr>
          <w:rFonts w:cs="David" w:hint="cs"/>
          <w:sz w:val="24"/>
          <w:szCs w:val="24"/>
          <w:rtl/>
        </w:rPr>
        <w:t xml:space="preserve"> </w:t>
      </w:r>
      <w:r w:rsidR="00AF60E5" w:rsidRPr="00A67C98">
        <w:rPr>
          <w:rFonts w:cs="David" w:hint="cs"/>
          <w:sz w:val="24"/>
          <w:szCs w:val="24"/>
          <w:rtl/>
        </w:rPr>
        <w:t xml:space="preserve">מוצע לקצר את תקופת </w:t>
      </w:r>
      <w:r w:rsidR="00AF60E5" w:rsidRPr="00C46FA5">
        <w:rPr>
          <w:rFonts w:cs="David" w:hint="cs"/>
          <w:sz w:val="24"/>
          <w:szCs w:val="24"/>
          <w:rtl/>
        </w:rPr>
        <w:t>הזיכיון</w:t>
      </w:r>
      <w:r w:rsidR="00AF60E5" w:rsidRPr="00A67C98">
        <w:rPr>
          <w:rFonts w:cs="David" w:hint="cs"/>
          <w:sz w:val="24"/>
          <w:szCs w:val="24"/>
          <w:rtl/>
        </w:rPr>
        <w:t xml:space="preserve"> של בעל</w:t>
      </w:r>
      <w:r w:rsidR="00AF60E5">
        <w:rPr>
          <w:rFonts w:cs="David" w:hint="cs"/>
          <w:sz w:val="24"/>
          <w:szCs w:val="24"/>
          <w:rtl/>
        </w:rPr>
        <w:t>י</w:t>
      </w:r>
      <w:r w:rsidR="00AF60E5" w:rsidRPr="00A67C98">
        <w:rPr>
          <w:rFonts w:cs="David" w:hint="cs"/>
          <w:sz w:val="24"/>
          <w:szCs w:val="24"/>
          <w:rtl/>
        </w:rPr>
        <w:t xml:space="preserve"> הזיכיונות בערוץ 2 </w:t>
      </w:r>
      <w:r w:rsidR="00AF60E5">
        <w:rPr>
          <w:rFonts w:cs="David" w:hint="cs"/>
          <w:sz w:val="24"/>
          <w:szCs w:val="24"/>
          <w:rtl/>
        </w:rPr>
        <w:t>ב</w:t>
      </w:r>
      <w:r w:rsidR="00614F32">
        <w:rPr>
          <w:rFonts w:cs="David" w:hint="cs"/>
          <w:sz w:val="24"/>
          <w:szCs w:val="24"/>
          <w:rtl/>
        </w:rPr>
        <w:t>שבעה</w:t>
      </w:r>
      <w:r w:rsidR="00AF60E5">
        <w:rPr>
          <w:rFonts w:cs="David" w:hint="cs"/>
          <w:sz w:val="24"/>
          <w:szCs w:val="24"/>
          <w:rtl/>
        </w:rPr>
        <w:t xml:space="preserve"> חודשים </w:t>
      </w:r>
      <w:r w:rsidR="00AF60E5" w:rsidRPr="00A67C98">
        <w:rPr>
          <w:rFonts w:cs="David" w:hint="cs"/>
          <w:sz w:val="24"/>
          <w:szCs w:val="24"/>
          <w:rtl/>
        </w:rPr>
        <w:t xml:space="preserve">ולבטל את האפשרות </w:t>
      </w:r>
      <w:r w:rsidR="00AF60E5">
        <w:rPr>
          <w:rFonts w:cs="David" w:hint="cs"/>
          <w:sz w:val="24"/>
          <w:szCs w:val="24"/>
          <w:rtl/>
        </w:rPr>
        <w:t>להארכת זיכיונותיהם ב</w:t>
      </w:r>
      <w:r w:rsidR="00AF60E5" w:rsidRPr="00A67C98">
        <w:rPr>
          <w:rFonts w:cs="David" w:hint="cs"/>
          <w:sz w:val="24"/>
          <w:szCs w:val="24"/>
          <w:rtl/>
        </w:rPr>
        <w:t>שנתיים נוספות</w:t>
      </w:r>
      <w:r w:rsidR="00AF60E5">
        <w:rPr>
          <w:rFonts w:cs="David" w:hint="cs"/>
          <w:sz w:val="24"/>
          <w:szCs w:val="24"/>
          <w:rtl/>
        </w:rPr>
        <w:t xml:space="preserve">. </w:t>
      </w:r>
    </w:p>
    <w:p w:rsidR="00283684" w:rsidRDefault="00283684" w:rsidP="00AF60E5">
      <w:pPr>
        <w:widowControl/>
        <w:tabs>
          <w:tab w:val="left" w:pos="6728"/>
        </w:tabs>
        <w:spacing w:before="0" w:line="360" w:lineRule="auto"/>
        <w:ind w:firstLine="0"/>
        <w:textAlignment w:val="auto"/>
        <w:rPr>
          <w:rFonts w:cs="David"/>
          <w:sz w:val="24"/>
          <w:szCs w:val="24"/>
          <w:rtl/>
        </w:rPr>
      </w:pPr>
    </w:p>
    <w:p w:rsidR="00AF60E5" w:rsidRPr="00A67C98" w:rsidRDefault="00AF60E5" w:rsidP="00614F32">
      <w:pPr>
        <w:widowControl/>
        <w:tabs>
          <w:tab w:val="left" w:pos="6728"/>
        </w:tabs>
        <w:spacing w:before="0" w:line="360" w:lineRule="auto"/>
        <w:ind w:firstLine="0"/>
        <w:textAlignment w:val="auto"/>
        <w:rPr>
          <w:rFonts w:cs="David"/>
          <w:sz w:val="24"/>
          <w:szCs w:val="24"/>
          <w:rtl/>
        </w:rPr>
      </w:pPr>
      <w:r>
        <w:rPr>
          <w:rFonts w:cs="David" w:hint="cs"/>
          <w:sz w:val="24"/>
          <w:szCs w:val="24"/>
          <w:rtl/>
        </w:rPr>
        <w:t xml:space="preserve">כמו כן, מוצע כי החל מיום 1 </w:t>
      </w:r>
      <w:r w:rsidR="00614F32">
        <w:rPr>
          <w:rFonts w:cs="David" w:hint="cs"/>
          <w:sz w:val="24"/>
          <w:szCs w:val="24"/>
          <w:rtl/>
        </w:rPr>
        <w:t>באפריל</w:t>
      </w:r>
      <w:r>
        <w:rPr>
          <w:rFonts w:cs="David" w:hint="cs"/>
          <w:sz w:val="24"/>
          <w:szCs w:val="24"/>
          <w:rtl/>
        </w:rPr>
        <w:t xml:space="preserve"> 2015 בעלי הזיכיונות בערוץ 2</w:t>
      </w:r>
      <w:r w:rsidRPr="00A67C98">
        <w:rPr>
          <w:rFonts w:cs="David" w:hint="cs"/>
          <w:sz w:val="24"/>
          <w:szCs w:val="24"/>
          <w:rtl/>
        </w:rPr>
        <w:t xml:space="preserve"> </w:t>
      </w:r>
      <w:r>
        <w:rPr>
          <w:rFonts w:cs="David" w:hint="cs"/>
          <w:sz w:val="24"/>
          <w:szCs w:val="24"/>
          <w:rtl/>
        </w:rPr>
        <w:t>ישדרו לפי</w:t>
      </w:r>
      <w:r w:rsidRPr="00A67C98">
        <w:rPr>
          <w:rFonts w:cs="David" w:hint="cs"/>
          <w:sz w:val="24"/>
          <w:szCs w:val="24"/>
          <w:rtl/>
        </w:rPr>
        <w:t xml:space="preserve"> רישיון לשידורים, באפיקים נפרדים</w:t>
      </w:r>
      <w:r>
        <w:rPr>
          <w:rFonts w:cs="David" w:hint="cs"/>
          <w:sz w:val="24"/>
          <w:szCs w:val="24"/>
          <w:rtl/>
        </w:rPr>
        <w:t xml:space="preserve"> ובמשך כל ימות השבוע, תוך עמידה בכל המחויבויות המוטלות על בעלי רישיונות בחוק ובהן החובה לקיים</w:t>
      </w:r>
      <w:r w:rsidRPr="00A67C98">
        <w:rPr>
          <w:rFonts w:cs="David" w:hint="cs"/>
          <w:sz w:val="24"/>
          <w:szCs w:val="24"/>
          <w:rtl/>
        </w:rPr>
        <w:t xml:space="preserve"> </w:t>
      </w:r>
      <w:r>
        <w:rPr>
          <w:rFonts w:cs="David" w:hint="cs"/>
          <w:sz w:val="24"/>
          <w:szCs w:val="24"/>
          <w:rtl/>
        </w:rPr>
        <w:t xml:space="preserve">שידורי חדשות באמצעות </w:t>
      </w:r>
      <w:r w:rsidRPr="00A67C98">
        <w:rPr>
          <w:rFonts w:cs="David" w:hint="cs"/>
          <w:sz w:val="24"/>
          <w:szCs w:val="24"/>
          <w:rtl/>
        </w:rPr>
        <w:t>חברת חדשות נפרדת</w:t>
      </w:r>
      <w:r>
        <w:rPr>
          <w:rFonts w:cs="David" w:hint="cs"/>
          <w:sz w:val="24"/>
          <w:szCs w:val="24"/>
          <w:rtl/>
        </w:rPr>
        <w:t xml:space="preserve"> לכל אחד מהם.</w:t>
      </w:r>
      <w:r w:rsidR="00375147">
        <w:rPr>
          <w:rFonts w:cs="David" w:hint="cs"/>
          <w:sz w:val="24"/>
          <w:szCs w:val="24"/>
          <w:rtl/>
        </w:rPr>
        <w:t xml:space="preserve"> </w:t>
      </w:r>
      <w:r>
        <w:rPr>
          <w:rFonts w:cs="David" w:hint="cs"/>
          <w:sz w:val="24"/>
          <w:szCs w:val="24"/>
          <w:rtl/>
        </w:rPr>
        <w:t>בנוסף,</w:t>
      </w:r>
      <w:r w:rsidRPr="00A67C98">
        <w:rPr>
          <w:rFonts w:cs="David" w:hint="cs"/>
          <w:sz w:val="24"/>
          <w:szCs w:val="24"/>
          <w:rtl/>
        </w:rPr>
        <w:t xml:space="preserve"> </w:t>
      </w:r>
      <w:r>
        <w:rPr>
          <w:rFonts w:cs="David" w:hint="cs"/>
          <w:sz w:val="24"/>
          <w:szCs w:val="24"/>
          <w:rtl/>
        </w:rPr>
        <w:t>מוצע ל</w:t>
      </w:r>
      <w:r w:rsidRPr="00A67C98">
        <w:rPr>
          <w:rFonts w:cs="David" w:hint="cs"/>
          <w:sz w:val="24"/>
          <w:szCs w:val="24"/>
          <w:rtl/>
        </w:rPr>
        <w:t>אפשר התמחרות בין בעלי הזיכיו</w:t>
      </w:r>
      <w:r>
        <w:rPr>
          <w:rFonts w:cs="David" w:hint="cs"/>
          <w:sz w:val="24"/>
          <w:szCs w:val="24"/>
          <w:rtl/>
        </w:rPr>
        <w:t xml:space="preserve">נות </w:t>
      </w:r>
      <w:r w:rsidRPr="00A67C98">
        <w:rPr>
          <w:rFonts w:cs="David" w:hint="cs"/>
          <w:sz w:val="24"/>
          <w:szCs w:val="24"/>
          <w:rtl/>
        </w:rPr>
        <w:t xml:space="preserve">בערוץ </w:t>
      </w:r>
      <w:r>
        <w:rPr>
          <w:rFonts w:cs="David" w:hint="cs"/>
          <w:sz w:val="24"/>
          <w:szCs w:val="24"/>
          <w:rtl/>
        </w:rPr>
        <w:t>2</w:t>
      </w:r>
      <w:r w:rsidRPr="00A67C98">
        <w:rPr>
          <w:rFonts w:cs="David" w:hint="cs"/>
          <w:sz w:val="24"/>
          <w:szCs w:val="24"/>
          <w:rtl/>
        </w:rPr>
        <w:t xml:space="preserve"> על רכישת חברת החדשות המשותפת</w:t>
      </w:r>
      <w:r>
        <w:rPr>
          <w:rFonts w:cs="David" w:hint="cs"/>
          <w:sz w:val="24"/>
          <w:szCs w:val="24"/>
          <w:rtl/>
        </w:rPr>
        <w:t xml:space="preserve"> בידי אחד מבעלי הזיכיונות.</w:t>
      </w:r>
    </w:p>
    <w:p w:rsidR="00375147" w:rsidRDefault="00375147" w:rsidP="00AF60E5">
      <w:pPr>
        <w:widowControl/>
        <w:tabs>
          <w:tab w:val="left" w:pos="6728"/>
        </w:tabs>
        <w:spacing w:before="0" w:line="360" w:lineRule="auto"/>
        <w:ind w:firstLine="0"/>
        <w:textAlignment w:val="auto"/>
        <w:rPr>
          <w:rFonts w:cs="David"/>
          <w:sz w:val="24"/>
          <w:szCs w:val="24"/>
          <w:rtl/>
        </w:rPr>
      </w:pPr>
    </w:p>
    <w:p w:rsidR="00AF60E5" w:rsidRDefault="00375147" w:rsidP="00614F32">
      <w:pPr>
        <w:widowControl/>
        <w:tabs>
          <w:tab w:val="left" w:pos="6728"/>
        </w:tabs>
        <w:spacing w:before="0" w:line="360" w:lineRule="auto"/>
        <w:ind w:firstLine="0"/>
        <w:textAlignment w:val="auto"/>
        <w:rPr>
          <w:rFonts w:cs="David"/>
          <w:sz w:val="24"/>
          <w:szCs w:val="24"/>
          <w:rtl/>
        </w:rPr>
      </w:pPr>
      <w:r>
        <w:rPr>
          <w:rFonts w:cs="David" w:hint="cs"/>
          <w:sz w:val="24"/>
          <w:szCs w:val="24"/>
          <w:rtl/>
        </w:rPr>
        <w:t xml:space="preserve">בהתאם לאמור, </w:t>
      </w:r>
      <w:r w:rsidR="00AF60E5">
        <w:rPr>
          <w:rFonts w:cs="David" w:hint="cs"/>
          <w:sz w:val="24"/>
          <w:szCs w:val="24"/>
          <w:rtl/>
        </w:rPr>
        <w:t>בשל קיצור תקופת הזיכיון הנוכחית של בעלי הזיכיונו</w:t>
      </w:r>
      <w:r w:rsidR="00AF60E5">
        <w:rPr>
          <w:rFonts w:cs="David"/>
          <w:sz w:val="24"/>
          <w:szCs w:val="24"/>
          <w:rtl/>
        </w:rPr>
        <w:t>ת</w:t>
      </w:r>
      <w:r w:rsidR="00AF60E5">
        <w:rPr>
          <w:rFonts w:cs="David" w:hint="cs"/>
          <w:sz w:val="24"/>
          <w:szCs w:val="24"/>
          <w:rtl/>
        </w:rPr>
        <w:t xml:space="preserve"> בערוץ 2 </w:t>
      </w:r>
      <w:r w:rsidR="00614F32">
        <w:rPr>
          <w:rFonts w:cs="David" w:hint="cs"/>
          <w:sz w:val="24"/>
          <w:szCs w:val="24"/>
          <w:rtl/>
        </w:rPr>
        <w:t>בשבעה</w:t>
      </w:r>
      <w:r w:rsidR="00AF60E5">
        <w:rPr>
          <w:rFonts w:cs="David" w:hint="cs"/>
          <w:sz w:val="24"/>
          <w:szCs w:val="24"/>
          <w:rtl/>
        </w:rPr>
        <w:t xml:space="preserve"> חודשים, מוצע להחזיר לכל אחד מהם חלק יחסי מסכום דמי הזיכיון החד-פעמיים ששילמו עם קבלת הזיכיון. </w:t>
      </w:r>
    </w:p>
    <w:p w:rsidR="007B4CFB" w:rsidRDefault="007B4CFB" w:rsidP="00AF60E5">
      <w:pPr>
        <w:widowControl/>
        <w:tabs>
          <w:tab w:val="left" w:pos="6728"/>
        </w:tabs>
        <w:spacing w:before="0" w:line="360" w:lineRule="auto"/>
        <w:ind w:firstLine="0"/>
        <w:textAlignment w:val="auto"/>
        <w:rPr>
          <w:rFonts w:cs="David"/>
          <w:sz w:val="24"/>
          <w:szCs w:val="24"/>
          <w:rtl/>
        </w:rPr>
      </w:pPr>
    </w:p>
    <w:p w:rsidR="00AF60E5" w:rsidRDefault="00AF60E5" w:rsidP="00AF60E5">
      <w:pPr>
        <w:pStyle w:val="Hesber1st"/>
        <w:tabs>
          <w:tab w:val="clear" w:pos="680"/>
        </w:tabs>
        <w:rPr>
          <w:b/>
          <w:bCs/>
          <w:sz w:val="24"/>
          <w:szCs w:val="24"/>
          <w:rtl/>
        </w:rPr>
      </w:pPr>
    </w:p>
    <w:p w:rsidR="00AF60E5" w:rsidRDefault="00AF60E5" w:rsidP="00AF60E5">
      <w:pPr>
        <w:pStyle w:val="Hesber1st"/>
        <w:tabs>
          <w:tab w:val="clear" w:pos="680"/>
        </w:tabs>
        <w:rPr>
          <w:sz w:val="24"/>
          <w:szCs w:val="24"/>
          <w:rtl/>
        </w:rPr>
      </w:pPr>
      <w:r>
        <w:rPr>
          <w:rFonts w:hint="cs"/>
          <w:b/>
          <w:bCs/>
          <w:sz w:val="24"/>
          <w:szCs w:val="24"/>
          <w:rtl/>
        </w:rPr>
        <w:t>ל</w:t>
      </w:r>
      <w:r w:rsidRPr="008D2E72">
        <w:rPr>
          <w:rFonts w:hint="cs"/>
          <w:b/>
          <w:bCs/>
          <w:sz w:val="24"/>
          <w:szCs w:val="24"/>
          <w:rtl/>
        </w:rPr>
        <w:t xml:space="preserve">סעיף </w:t>
      </w:r>
      <w:r w:rsidRPr="00B31062">
        <w:rPr>
          <w:rFonts w:hint="cs"/>
          <w:b/>
          <w:bCs/>
          <w:sz w:val="24"/>
          <w:szCs w:val="24"/>
          <w:rtl/>
        </w:rPr>
        <w:t>1  -</w:t>
      </w:r>
      <w:r>
        <w:rPr>
          <w:rFonts w:hint="cs"/>
          <w:sz w:val="24"/>
          <w:szCs w:val="24"/>
          <w:rtl/>
        </w:rPr>
        <w:t xml:space="preserve"> </w:t>
      </w:r>
      <w:r w:rsidRPr="00A67C98">
        <w:rPr>
          <w:rFonts w:hint="cs"/>
          <w:sz w:val="24"/>
          <w:szCs w:val="24"/>
          <w:rtl/>
        </w:rPr>
        <w:t xml:space="preserve"> </w:t>
      </w:r>
    </w:p>
    <w:p w:rsidR="00AF60E5" w:rsidRPr="00A67C98" w:rsidRDefault="00AF60E5" w:rsidP="007B1F80">
      <w:pPr>
        <w:pStyle w:val="Hesber1st"/>
        <w:tabs>
          <w:tab w:val="clear" w:pos="680"/>
        </w:tabs>
        <w:rPr>
          <w:sz w:val="24"/>
          <w:szCs w:val="24"/>
          <w:rtl/>
        </w:rPr>
      </w:pPr>
      <w:r w:rsidRPr="00A67C98">
        <w:rPr>
          <w:rFonts w:hint="cs"/>
          <w:sz w:val="24"/>
          <w:szCs w:val="24"/>
          <w:rtl/>
        </w:rPr>
        <w:t xml:space="preserve">מוצע </w:t>
      </w:r>
      <w:r>
        <w:rPr>
          <w:rFonts w:hint="cs"/>
          <w:sz w:val="24"/>
          <w:szCs w:val="24"/>
          <w:rtl/>
        </w:rPr>
        <w:t>ל</w:t>
      </w:r>
      <w:r w:rsidR="00375147">
        <w:rPr>
          <w:rFonts w:hint="cs"/>
          <w:sz w:val="24"/>
          <w:szCs w:val="24"/>
          <w:rtl/>
        </w:rPr>
        <w:t>בטל את סעיף 34(ב3) ל</w:t>
      </w:r>
      <w:r w:rsidR="00375147" w:rsidRPr="00375147">
        <w:rPr>
          <w:sz w:val="24"/>
          <w:szCs w:val="24"/>
          <w:rtl/>
        </w:rPr>
        <w:t>חוק</w:t>
      </w:r>
      <w:r w:rsidR="00363105">
        <w:rPr>
          <w:rFonts w:hint="cs"/>
          <w:sz w:val="24"/>
          <w:szCs w:val="24"/>
          <w:rtl/>
        </w:rPr>
        <w:t>,</w:t>
      </w:r>
      <w:r w:rsidR="00375147" w:rsidRPr="00375147">
        <w:rPr>
          <w:sz w:val="24"/>
          <w:szCs w:val="24"/>
          <w:rtl/>
        </w:rPr>
        <w:t xml:space="preserve"> </w:t>
      </w:r>
      <w:r w:rsidR="00375147">
        <w:rPr>
          <w:rFonts w:hint="cs"/>
          <w:sz w:val="24"/>
          <w:szCs w:val="24"/>
          <w:rtl/>
        </w:rPr>
        <w:t xml:space="preserve">המעניק </w:t>
      </w:r>
      <w:r w:rsidR="00375147">
        <w:rPr>
          <w:sz w:val="24"/>
          <w:szCs w:val="24"/>
          <w:rtl/>
        </w:rPr>
        <w:t>לבעלי הזיכיונות בערוץ 2</w:t>
      </w:r>
      <w:r w:rsidR="00375147">
        <w:rPr>
          <w:rFonts w:hint="cs"/>
          <w:sz w:val="24"/>
          <w:szCs w:val="24"/>
          <w:rtl/>
        </w:rPr>
        <w:t xml:space="preserve"> אפשרות </w:t>
      </w:r>
      <w:r w:rsidR="00375147" w:rsidRPr="00375147">
        <w:rPr>
          <w:sz w:val="24"/>
          <w:szCs w:val="24"/>
          <w:rtl/>
        </w:rPr>
        <w:t>לבקש להאריך את תקופת הזיכיונות בשנתיים נוספות</w:t>
      </w:r>
      <w:r w:rsidR="00363105">
        <w:rPr>
          <w:rFonts w:hint="cs"/>
          <w:sz w:val="24"/>
          <w:szCs w:val="24"/>
          <w:rtl/>
        </w:rPr>
        <w:t xml:space="preserve"> ול</w:t>
      </w:r>
      <w:r>
        <w:rPr>
          <w:rFonts w:hint="cs"/>
          <w:sz w:val="24"/>
          <w:szCs w:val="24"/>
          <w:rtl/>
        </w:rPr>
        <w:t>קבוע כי תקופת תוקפו של הזיכיון של בעלי הזיכיונות בערוץ 2 תהיה עד ליום 31 ב</w:t>
      </w:r>
      <w:r w:rsidR="007B1F80">
        <w:rPr>
          <w:rFonts w:hint="cs"/>
          <w:sz w:val="24"/>
          <w:szCs w:val="24"/>
          <w:rtl/>
        </w:rPr>
        <w:t>מרץ</w:t>
      </w:r>
      <w:r>
        <w:rPr>
          <w:rFonts w:hint="cs"/>
          <w:sz w:val="24"/>
          <w:szCs w:val="24"/>
          <w:rtl/>
        </w:rPr>
        <w:t xml:space="preserve"> </w:t>
      </w:r>
      <w:r w:rsidR="007B1F80">
        <w:rPr>
          <w:rFonts w:hint="cs"/>
          <w:sz w:val="24"/>
          <w:szCs w:val="24"/>
          <w:rtl/>
        </w:rPr>
        <w:t>2015</w:t>
      </w:r>
      <w:r w:rsidR="00363105">
        <w:rPr>
          <w:rFonts w:hint="cs"/>
          <w:sz w:val="24"/>
          <w:szCs w:val="24"/>
          <w:rtl/>
        </w:rPr>
        <w:t xml:space="preserve">. </w:t>
      </w:r>
    </w:p>
    <w:p w:rsidR="00AF60E5" w:rsidRDefault="00AF60E5" w:rsidP="00AF60E5">
      <w:pPr>
        <w:pStyle w:val="Hesber1st"/>
        <w:tabs>
          <w:tab w:val="clear" w:pos="680"/>
        </w:tabs>
        <w:rPr>
          <w:sz w:val="24"/>
          <w:szCs w:val="24"/>
          <w:rtl/>
        </w:rPr>
      </w:pPr>
    </w:p>
    <w:p w:rsidR="00AF60E5" w:rsidRDefault="00AF60E5" w:rsidP="009B12E4">
      <w:pPr>
        <w:pStyle w:val="Hesber1st"/>
        <w:rPr>
          <w:b/>
          <w:bCs/>
          <w:sz w:val="24"/>
          <w:szCs w:val="24"/>
          <w:rtl/>
        </w:rPr>
      </w:pPr>
      <w:r>
        <w:rPr>
          <w:rFonts w:hint="cs"/>
          <w:b/>
          <w:bCs/>
          <w:sz w:val="24"/>
          <w:szCs w:val="24"/>
          <w:rtl/>
        </w:rPr>
        <w:t xml:space="preserve">לסעיף </w:t>
      </w:r>
      <w:r w:rsidR="009B12E4">
        <w:rPr>
          <w:rFonts w:hint="cs"/>
          <w:b/>
          <w:bCs/>
          <w:sz w:val="24"/>
          <w:szCs w:val="24"/>
          <w:rtl/>
        </w:rPr>
        <w:t>2</w:t>
      </w:r>
      <w:r>
        <w:rPr>
          <w:rFonts w:hint="cs"/>
          <w:b/>
          <w:bCs/>
          <w:sz w:val="24"/>
          <w:szCs w:val="24"/>
          <w:rtl/>
        </w:rPr>
        <w:t xml:space="preserve"> </w:t>
      </w:r>
      <w:r w:rsidR="00B31062" w:rsidRPr="00B31062">
        <w:rPr>
          <w:rFonts w:hint="cs"/>
          <w:b/>
          <w:bCs/>
          <w:sz w:val="24"/>
          <w:szCs w:val="24"/>
          <w:rtl/>
        </w:rPr>
        <w:t>-</w:t>
      </w:r>
    </w:p>
    <w:p w:rsidR="00AF60E5" w:rsidRPr="001A4BA2" w:rsidRDefault="00CD73CF" w:rsidP="00E60A02">
      <w:pPr>
        <w:pStyle w:val="Hesber1st"/>
        <w:rPr>
          <w:sz w:val="24"/>
          <w:szCs w:val="24"/>
          <w:rtl/>
        </w:rPr>
      </w:pPr>
      <w:r w:rsidRPr="00CD73CF">
        <w:rPr>
          <w:sz w:val="24"/>
          <w:szCs w:val="24"/>
          <w:rtl/>
        </w:rPr>
        <w:t xml:space="preserve">ארכיון התוכן של שידורי החדשות והתכניות שהופקו </w:t>
      </w:r>
      <w:r w:rsidR="00CE772F">
        <w:rPr>
          <w:rFonts w:hint="cs"/>
          <w:sz w:val="24"/>
          <w:szCs w:val="24"/>
          <w:rtl/>
        </w:rPr>
        <w:t>בידי</w:t>
      </w:r>
      <w:r w:rsidRPr="00CD73CF">
        <w:rPr>
          <w:sz w:val="24"/>
          <w:szCs w:val="24"/>
          <w:rtl/>
        </w:rPr>
        <w:t xml:space="preserve"> חברות החדשות במשך שנות קיומן עד כה, לרבות </w:t>
      </w:r>
      <w:r w:rsidRPr="00CD73CF">
        <w:rPr>
          <w:sz w:val="24"/>
          <w:szCs w:val="24"/>
          <w:rtl/>
        </w:rPr>
        <w:lastRenderedPageBreak/>
        <w:t xml:space="preserve">הצילומים והחומרים שנאספו על ידן, הם אוצר בלום של תיעוד קורות המדינה והחברה בישראל בשנים אלה. במקרה </w:t>
      </w:r>
      <w:r>
        <w:rPr>
          <w:rFonts w:hint="cs"/>
          <w:sz w:val="24"/>
          <w:szCs w:val="24"/>
          <w:rtl/>
        </w:rPr>
        <w:t xml:space="preserve">בו </w:t>
      </w:r>
      <w:r>
        <w:rPr>
          <w:sz w:val="24"/>
          <w:szCs w:val="24"/>
          <w:rtl/>
        </w:rPr>
        <w:t xml:space="preserve">תיסגר חברת </w:t>
      </w:r>
      <w:r w:rsidRPr="00CD73CF">
        <w:rPr>
          <w:sz w:val="24"/>
          <w:szCs w:val="24"/>
          <w:rtl/>
        </w:rPr>
        <w:t>חדשות שייצרה חומר זה, ראוי שהוא יישמר בידי גוף ציבורי לדורות הבאים באופן מרוכז</w:t>
      </w:r>
      <w:r w:rsidR="00E60A02">
        <w:rPr>
          <w:rFonts w:hint="cs"/>
          <w:sz w:val="24"/>
          <w:szCs w:val="24"/>
          <w:rtl/>
        </w:rPr>
        <w:t xml:space="preserve"> וכן שיועמד לעיון הציבור,</w:t>
      </w:r>
      <w:r w:rsidRPr="00CD73CF">
        <w:rPr>
          <w:sz w:val="24"/>
          <w:szCs w:val="24"/>
          <w:rtl/>
        </w:rPr>
        <w:t xml:space="preserve"> ללא תמורה. </w:t>
      </w:r>
      <w:r w:rsidR="009B5891">
        <w:rPr>
          <w:rFonts w:hint="cs"/>
          <w:sz w:val="24"/>
          <w:szCs w:val="24"/>
          <w:rtl/>
        </w:rPr>
        <w:t xml:space="preserve">לפיכך, מוצע, </w:t>
      </w:r>
      <w:r w:rsidR="00283684">
        <w:rPr>
          <w:rFonts w:hint="cs"/>
          <w:sz w:val="24"/>
          <w:szCs w:val="24"/>
          <w:rtl/>
        </w:rPr>
        <w:t xml:space="preserve">כי במקרה בו תיסגר חברת </w:t>
      </w:r>
      <w:r w:rsidR="00AF60E5">
        <w:rPr>
          <w:rFonts w:hint="cs"/>
          <w:sz w:val="24"/>
          <w:szCs w:val="24"/>
          <w:rtl/>
        </w:rPr>
        <w:t>חדשות, ה</w:t>
      </w:r>
      <w:r w:rsidR="00AF60E5" w:rsidRPr="001A4BA2">
        <w:rPr>
          <w:rFonts w:hint="cs"/>
          <w:sz w:val="24"/>
          <w:szCs w:val="24"/>
          <w:rtl/>
        </w:rPr>
        <w:t xml:space="preserve">רשות השנייה </w:t>
      </w:r>
      <w:r w:rsidR="00AF60E5">
        <w:rPr>
          <w:rFonts w:hint="cs"/>
          <w:sz w:val="24"/>
          <w:szCs w:val="24"/>
          <w:rtl/>
        </w:rPr>
        <w:t xml:space="preserve">תקבל </w:t>
      </w:r>
      <w:r w:rsidR="003264EB">
        <w:rPr>
          <w:rFonts w:hint="cs"/>
          <w:sz w:val="24"/>
          <w:szCs w:val="24"/>
          <w:rtl/>
        </w:rPr>
        <w:t>עותק מכל</w:t>
      </w:r>
      <w:r w:rsidR="00AF60E5" w:rsidRPr="001A4BA2">
        <w:rPr>
          <w:rFonts w:hint="cs"/>
          <w:sz w:val="24"/>
          <w:szCs w:val="24"/>
          <w:rtl/>
        </w:rPr>
        <w:t xml:space="preserve"> </w:t>
      </w:r>
      <w:r w:rsidR="00E60A02">
        <w:rPr>
          <w:rFonts w:hint="cs"/>
          <w:sz w:val="24"/>
          <w:szCs w:val="24"/>
          <w:rtl/>
        </w:rPr>
        <w:t>התוכניות</w:t>
      </w:r>
      <w:r w:rsidR="00AF60E5">
        <w:rPr>
          <w:rFonts w:hint="cs"/>
          <w:sz w:val="24"/>
          <w:szCs w:val="24"/>
          <w:rtl/>
        </w:rPr>
        <w:t xml:space="preserve"> ששידרה </w:t>
      </w:r>
      <w:r w:rsidR="00E60A02">
        <w:rPr>
          <w:rFonts w:hint="cs"/>
          <w:sz w:val="24"/>
          <w:szCs w:val="24"/>
          <w:rtl/>
        </w:rPr>
        <w:t xml:space="preserve">והחזיקה </w:t>
      </w:r>
      <w:r w:rsidR="00AF60E5">
        <w:rPr>
          <w:rFonts w:hint="cs"/>
          <w:sz w:val="24"/>
          <w:szCs w:val="24"/>
          <w:rtl/>
        </w:rPr>
        <w:t xml:space="preserve">החברה הנסגרת </w:t>
      </w:r>
      <w:r w:rsidR="00E60A02">
        <w:rPr>
          <w:rFonts w:hint="cs"/>
          <w:sz w:val="24"/>
          <w:szCs w:val="24"/>
          <w:rtl/>
        </w:rPr>
        <w:t>ותעמידן</w:t>
      </w:r>
      <w:r w:rsidR="003264EB">
        <w:rPr>
          <w:rFonts w:hint="cs"/>
          <w:sz w:val="24"/>
          <w:szCs w:val="24"/>
          <w:rtl/>
        </w:rPr>
        <w:t xml:space="preserve"> לעיון </w:t>
      </w:r>
      <w:r w:rsidR="00AF60E5">
        <w:rPr>
          <w:rFonts w:hint="cs"/>
          <w:sz w:val="24"/>
          <w:szCs w:val="24"/>
          <w:rtl/>
        </w:rPr>
        <w:t>ה</w:t>
      </w:r>
      <w:r w:rsidR="003264EB">
        <w:rPr>
          <w:rFonts w:hint="cs"/>
          <w:sz w:val="24"/>
          <w:szCs w:val="24"/>
          <w:rtl/>
        </w:rPr>
        <w:t xml:space="preserve">ציבור, ללא תמורה. </w:t>
      </w:r>
      <w:r w:rsidR="00AF60E5" w:rsidRPr="001A4BA2">
        <w:rPr>
          <w:rFonts w:hint="cs"/>
          <w:sz w:val="24"/>
          <w:szCs w:val="24"/>
          <w:rtl/>
        </w:rPr>
        <w:t xml:space="preserve"> </w:t>
      </w:r>
      <w:r w:rsidR="00E60A02">
        <w:rPr>
          <w:rFonts w:hint="cs"/>
          <w:sz w:val="24"/>
          <w:szCs w:val="24"/>
          <w:rtl/>
        </w:rPr>
        <w:t>כמו כן, מוצע לפטור את חברת החדשות הנסגרת מכל תשלום הנובע מיצירת עותקים כאמור והעברתם לרשות השנייה.</w:t>
      </w:r>
    </w:p>
    <w:p w:rsidR="00AF60E5" w:rsidRDefault="00AF60E5" w:rsidP="00AF60E5">
      <w:pPr>
        <w:pStyle w:val="Hesber1st"/>
        <w:tabs>
          <w:tab w:val="clear" w:pos="680"/>
        </w:tabs>
        <w:rPr>
          <w:sz w:val="24"/>
          <w:szCs w:val="24"/>
          <w:rtl/>
        </w:rPr>
      </w:pPr>
    </w:p>
    <w:p w:rsidR="00AF60E5" w:rsidRDefault="00AF60E5" w:rsidP="009B12E4">
      <w:pPr>
        <w:pStyle w:val="Hesber1st"/>
        <w:tabs>
          <w:tab w:val="clear" w:pos="680"/>
        </w:tabs>
        <w:rPr>
          <w:b/>
          <w:bCs/>
          <w:sz w:val="24"/>
          <w:szCs w:val="24"/>
          <w:rtl/>
        </w:rPr>
      </w:pPr>
      <w:r>
        <w:rPr>
          <w:rFonts w:hint="cs"/>
          <w:b/>
          <w:bCs/>
          <w:sz w:val="24"/>
          <w:szCs w:val="24"/>
          <w:rtl/>
        </w:rPr>
        <w:t>לסע</w:t>
      </w:r>
      <w:r w:rsidRPr="00B0114D">
        <w:rPr>
          <w:rFonts w:hint="cs"/>
          <w:b/>
          <w:bCs/>
          <w:sz w:val="24"/>
          <w:szCs w:val="24"/>
          <w:rtl/>
        </w:rPr>
        <w:t xml:space="preserve">יף </w:t>
      </w:r>
      <w:r w:rsidR="009B12E4">
        <w:rPr>
          <w:rFonts w:hint="cs"/>
          <w:b/>
          <w:bCs/>
          <w:sz w:val="24"/>
          <w:szCs w:val="24"/>
          <w:rtl/>
        </w:rPr>
        <w:t>3</w:t>
      </w:r>
      <w:r w:rsidRPr="00B0114D">
        <w:rPr>
          <w:rFonts w:hint="cs"/>
          <w:b/>
          <w:bCs/>
          <w:sz w:val="24"/>
          <w:szCs w:val="24"/>
          <w:rtl/>
        </w:rPr>
        <w:t xml:space="preserve"> -</w:t>
      </w:r>
      <w:r>
        <w:rPr>
          <w:rFonts w:hint="cs"/>
          <w:sz w:val="24"/>
          <w:szCs w:val="24"/>
          <w:rtl/>
        </w:rPr>
        <w:t xml:space="preserve">  </w:t>
      </w:r>
      <w:r w:rsidRPr="00A67C98">
        <w:rPr>
          <w:rFonts w:hint="cs"/>
          <w:sz w:val="24"/>
          <w:szCs w:val="24"/>
          <w:rtl/>
        </w:rPr>
        <w:t xml:space="preserve"> </w:t>
      </w:r>
    </w:p>
    <w:p w:rsidR="00AF60E5" w:rsidRDefault="00AF60E5" w:rsidP="00B31062">
      <w:pPr>
        <w:pStyle w:val="Hesber1st"/>
        <w:tabs>
          <w:tab w:val="clear" w:pos="680"/>
        </w:tabs>
        <w:rPr>
          <w:b/>
          <w:bCs/>
          <w:sz w:val="24"/>
          <w:szCs w:val="24"/>
          <w:rtl/>
        </w:rPr>
      </w:pPr>
      <w:r w:rsidRPr="00B057E3">
        <w:rPr>
          <w:rFonts w:hint="cs"/>
          <w:b/>
          <w:bCs/>
          <w:sz w:val="24"/>
          <w:szCs w:val="24"/>
          <w:rtl/>
        </w:rPr>
        <w:t xml:space="preserve">לסעיף א </w:t>
      </w:r>
      <w:r w:rsidR="00B31062" w:rsidRPr="00B31062">
        <w:rPr>
          <w:rFonts w:hint="cs"/>
          <w:b/>
          <w:bCs/>
          <w:sz w:val="24"/>
          <w:szCs w:val="24"/>
          <w:rtl/>
        </w:rPr>
        <w:t>-</w:t>
      </w:r>
    </w:p>
    <w:p w:rsidR="00CD73CF" w:rsidRPr="00B057E3" w:rsidRDefault="00CD73CF" w:rsidP="00AF60E5">
      <w:pPr>
        <w:pStyle w:val="Hesber1st"/>
        <w:tabs>
          <w:tab w:val="clear" w:pos="680"/>
        </w:tabs>
        <w:rPr>
          <w:b/>
          <w:bCs/>
          <w:sz w:val="24"/>
          <w:szCs w:val="24"/>
          <w:rtl/>
        </w:rPr>
      </w:pPr>
      <w:r>
        <w:rPr>
          <w:rFonts w:hint="cs"/>
          <w:b/>
          <w:bCs/>
          <w:sz w:val="24"/>
          <w:szCs w:val="24"/>
          <w:rtl/>
        </w:rPr>
        <w:t xml:space="preserve">לפסקה (1) - </w:t>
      </w:r>
    </w:p>
    <w:p w:rsidR="00AF60E5" w:rsidRDefault="00AF60E5" w:rsidP="004A26F4">
      <w:pPr>
        <w:pStyle w:val="Hesber1st"/>
        <w:tabs>
          <w:tab w:val="clear" w:pos="680"/>
        </w:tabs>
        <w:rPr>
          <w:sz w:val="24"/>
          <w:szCs w:val="24"/>
          <w:rtl/>
        </w:rPr>
      </w:pPr>
      <w:r>
        <w:rPr>
          <w:rFonts w:hint="cs"/>
          <w:sz w:val="24"/>
          <w:szCs w:val="24"/>
          <w:rtl/>
        </w:rPr>
        <w:t xml:space="preserve">מוצע </w:t>
      </w:r>
      <w:r w:rsidR="00CD73CF">
        <w:rPr>
          <w:rFonts w:hint="cs"/>
          <w:sz w:val="24"/>
          <w:szCs w:val="24"/>
          <w:rtl/>
        </w:rPr>
        <w:t xml:space="preserve">להוסיף למונחים המוגדרים בסעיף 71ד(א) </w:t>
      </w:r>
      <w:r w:rsidR="009337BD">
        <w:rPr>
          <w:rFonts w:hint="cs"/>
          <w:sz w:val="24"/>
          <w:szCs w:val="24"/>
          <w:rtl/>
        </w:rPr>
        <w:t>לחוק</w:t>
      </w:r>
      <w:r w:rsidR="00751800">
        <w:rPr>
          <w:rFonts w:hint="cs"/>
          <w:sz w:val="24"/>
          <w:szCs w:val="24"/>
          <w:rtl/>
        </w:rPr>
        <w:t>,</w:t>
      </w:r>
      <w:r w:rsidR="009337BD">
        <w:rPr>
          <w:rFonts w:hint="cs"/>
          <w:sz w:val="24"/>
          <w:szCs w:val="24"/>
          <w:rtl/>
        </w:rPr>
        <w:t xml:space="preserve"> </w:t>
      </w:r>
      <w:r w:rsidR="00CD73CF">
        <w:rPr>
          <w:rFonts w:hint="cs"/>
          <w:sz w:val="24"/>
          <w:szCs w:val="24"/>
          <w:rtl/>
        </w:rPr>
        <w:t xml:space="preserve">הגדרה של </w:t>
      </w:r>
      <w:r w:rsidR="004A26F4">
        <w:rPr>
          <w:rFonts w:hint="cs"/>
          <w:sz w:val="24"/>
          <w:szCs w:val="24"/>
          <w:rtl/>
        </w:rPr>
        <w:t>יום התחילה</w:t>
      </w:r>
      <w:r w:rsidR="00CD73CF">
        <w:rPr>
          <w:rFonts w:hint="cs"/>
          <w:sz w:val="24"/>
          <w:szCs w:val="24"/>
          <w:rtl/>
        </w:rPr>
        <w:t xml:space="preserve">, שתשמש בקביעת מועדים לפעולות שונות </w:t>
      </w:r>
      <w:r w:rsidR="009337BD">
        <w:rPr>
          <w:rFonts w:hint="cs"/>
          <w:sz w:val="24"/>
          <w:szCs w:val="24"/>
          <w:rtl/>
        </w:rPr>
        <w:t xml:space="preserve">לפי </w:t>
      </w:r>
      <w:r w:rsidR="00CD73CF">
        <w:rPr>
          <w:rFonts w:hint="cs"/>
          <w:sz w:val="24"/>
          <w:szCs w:val="24"/>
          <w:rtl/>
        </w:rPr>
        <w:t xml:space="preserve">תיקון זה. </w:t>
      </w:r>
      <w:r>
        <w:rPr>
          <w:rFonts w:hint="cs"/>
          <w:sz w:val="24"/>
          <w:szCs w:val="24"/>
          <w:rtl/>
        </w:rPr>
        <w:t xml:space="preserve"> </w:t>
      </w:r>
    </w:p>
    <w:p w:rsidR="00CD73CF" w:rsidRPr="00CD73CF" w:rsidRDefault="00CD73CF" w:rsidP="00AF60E5">
      <w:pPr>
        <w:pStyle w:val="Hesber1st"/>
        <w:tabs>
          <w:tab w:val="clear" w:pos="680"/>
        </w:tabs>
        <w:rPr>
          <w:b/>
          <w:bCs/>
          <w:sz w:val="24"/>
          <w:szCs w:val="24"/>
          <w:rtl/>
        </w:rPr>
      </w:pPr>
      <w:r w:rsidRPr="00CD73CF">
        <w:rPr>
          <w:rFonts w:hint="cs"/>
          <w:b/>
          <w:bCs/>
          <w:sz w:val="24"/>
          <w:szCs w:val="24"/>
          <w:rtl/>
        </w:rPr>
        <w:t xml:space="preserve">לפסקה (2) - </w:t>
      </w:r>
    </w:p>
    <w:p w:rsidR="00AF60E5" w:rsidRDefault="00751800" w:rsidP="00CE772F">
      <w:pPr>
        <w:pStyle w:val="Hesber1st"/>
        <w:tabs>
          <w:tab w:val="clear" w:pos="680"/>
        </w:tabs>
        <w:rPr>
          <w:sz w:val="24"/>
          <w:szCs w:val="24"/>
          <w:rtl/>
        </w:rPr>
      </w:pPr>
      <w:r>
        <w:rPr>
          <w:rFonts w:hint="cs"/>
          <w:sz w:val="24"/>
          <w:szCs w:val="24"/>
          <w:rtl/>
        </w:rPr>
        <w:t xml:space="preserve">בהתאם לחוק </w:t>
      </w:r>
      <w:r w:rsidR="00CD73CF">
        <w:rPr>
          <w:rFonts w:hint="cs"/>
          <w:sz w:val="24"/>
          <w:szCs w:val="24"/>
          <w:rtl/>
        </w:rPr>
        <w:t xml:space="preserve">ההגדרה "הערכת שווי" </w:t>
      </w:r>
      <w:r>
        <w:rPr>
          <w:rFonts w:hint="cs"/>
          <w:sz w:val="24"/>
          <w:szCs w:val="24"/>
          <w:rtl/>
        </w:rPr>
        <w:t>הי</w:t>
      </w:r>
      <w:r w:rsidR="00CE772F">
        <w:rPr>
          <w:rFonts w:hint="cs"/>
          <w:sz w:val="24"/>
          <w:szCs w:val="24"/>
          <w:rtl/>
        </w:rPr>
        <w:t>א</w:t>
      </w:r>
      <w:r w:rsidR="00CD73CF">
        <w:rPr>
          <w:rFonts w:hint="cs"/>
          <w:sz w:val="24"/>
          <w:szCs w:val="24"/>
          <w:rtl/>
        </w:rPr>
        <w:t xml:space="preserve"> </w:t>
      </w:r>
      <w:r w:rsidR="0022633D">
        <w:rPr>
          <w:rFonts w:hint="cs"/>
          <w:sz w:val="24"/>
          <w:szCs w:val="24"/>
          <w:rtl/>
        </w:rPr>
        <w:t>"</w:t>
      </w:r>
      <w:r w:rsidR="00CD73CF">
        <w:rPr>
          <w:rFonts w:hint="cs"/>
          <w:sz w:val="24"/>
          <w:szCs w:val="24"/>
          <w:rtl/>
        </w:rPr>
        <w:t xml:space="preserve">הערכת שווי של חברת החדשות של ערוץ 2 כפי שבוצעה </w:t>
      </w:r>
      <w:r w:rsidR="0022633D">
        <w:rPr>
          <w:rFonts w:hint="cs"/>
          <w:sz w:val="24"/>
          <w:szCs w:val="24"/>
          <w:rtl/>
        </w:rPr>
        <w:t xml:space="preserve">על ידי </w:t>
      </w:r>
      <w:r w:rsidR="00CD73CF">
        <w:rPr>
          <w:rFonts w:hint="cs"/>
          <w:sz w:val="24"/>
          <w:szCs w:val="24"/>
          <w:rtl/>
        </w:rPr>
        <w:t>הרשות בהתאם להוראות סעיף קטן (יד)</w:t>
      </w:r>
      <w:r w:rsidR="00656B72">
        <w:rPr>
          <w:rFonts w:hint="cs"/>
          <w:sz w:val="24"/>
          <w:szCs w:val="24"/>
          <w:rtl/>
        </w:rPr>
        <w:t>"</w:t>
      </w:r>
      <w:r w:rsidR="00CD73CF">
        <w:rPr>
          <w:rFonts w:hint="cs"/>
          <w:sz w:val="24"/>
          <w:szCs w:val="24"/>
          <w:rtl/>
        </w:rPr>
        <w:t xml:space="preserve">. </w:t>
      </w:r>
      <w:r w:rsidR="00AF60E5">
        <w:rPr>
          <w:rFonts w:hint="cs"/>
          <w:sz w:val="24"/>
          <w:szCs w:val="24"/>
          <w:rtl/>
        </w:rPr>
        <w:t xml:space="preserve">מוצע למחוק הגדרה </w:t>
      </w:r>
      <w:r w:rsidR="00CD73CF">
        <w:rPr>
          <w:rFonts w:hint="cs"/>
          <w:sz w:val="24"/>
          <w:szCs w:val="24"/>
          <w:rtl/>
        </w:rPr>
        <w:t>זו שכן בסעיפי החוק</w:t>
      </w:r>
      <w:r w:rsidR="00AF60E5">
        <w:rPr>
          <w:rFonts w:hint="cs"/>
          <w:sz w:val="24"/>
          <w:szCs w:val="24"/>
          <w:rtl/>
        </w:rPr>
        <w:t xml:space="preserve"> </w:t>
      </w:r>
      <w:r w:rsidR="00656B72">
        <w:rPr>
          <w:rFonts w:hint="cs"/>
          <w:sz w:val="24"/>
          <w:szCs w:val="24"/>
          <w:rtl/>
        </w:rPr>
        <w:t>בהם מופיעה ההגדרה</w:t>
      </w:r>
      <w:r w:rsidR="00AF60E5">
        <w:rPr>
          <w:rFonts w:hint="cs"/>
          <w:sz w:val="24"/>
          <w:szCs w:val="24"/>
          <w:rtl/>
        </w:rPr>
        <w:t xml:space="preserve">, קיימת הפנייה </w:t>
      </w:r>
      <w:r w:rsidR="00CD73CF">
        <w:rPr>
          <w:rFonts w:hint="cs"/>
          <w:sz w:val="24"/>
          <w:szCs w:val="24"/>
          <w:rtl/>
        </w:rPr>
        <w:t xml:space="preserve">מפורשת </w:t>
      </w:r>
      <w:r w:rsidR="00AF60E5">
        <w:rPr>
          <w:rFonts w:hint="cs"/>
          <w:sz w:val="24"/>
          <w:szCs w:val="24"/>
          <w:rtl/>
        </w:rPr>
        <w:t xml:space="preserve">לסעיף 71ד(יד), באופן שמייתר את ההגדרה. </w:t>
      </w:r>
    </w:p>
    <w:p w:rsidR="002D7634" w:rsidRDefault="002D7634" w:rsidP="00AF60E5">
      <w:pPr>
        <w:pStyle w:val="Hesber1st"/>
        <w:tabs>
          <w:tab w:val="clear" w:pos="680"/>
        </w:tabs>
        <w:rPr>
          <w:b/>
          <w:bCs/>
          <w:sz w:val="24"/>
          <w:szCs w:val="24"/>
          <w:rtl/>
        </w:rPr>
      </w:pPr>
    </w:p>
    <w:p w:rsidR="00AF60E5" w:rsidRPr="00B057E3" w:rsidRDefault="00AF60E5" w:rsidP="00B31062">
      <w:pPr>
        <w:pStyle w:val="Hesber1st"/>
        <w:tabs>
          <w:tab w:val="clear" w:pos="680"/>
        </w:tabs>
        <w:rPr>
          <w:b/>
          <w:bCs/>
          <w:sz w:val="24"/>
          <w:szCs w:val="24"/>
          <w:rtl/>
        </w:rPr>
      </w:pPr>
      <w:r w:rsidRPr="00B057E3">
        <w:rPr>
          <w:rFonts w:hint="cs"/>
          <w:b/>
          <w:bCs/>
          <w:sz w:val="24"/>
          <w:szCs w:val="24"/>
          <w:rtl/>
        </w:rPr>
        <w:t xml:space="preserve">לסעיף </w:t>
      </w:r>
      <w:r>
        <w:rPr>
          <w:rFonts w:hint="cs"/>
          <w:b/>
          <w:bCs/>
          <w:sz w:val="24"/>
          <w:szCs w:val="24"/>
          <w:rtl/>
        </w:rPr>
        <w:t>ב</w:t>
      </w:r>
      <w:r w:rsidRPr="00B057E3">
        <w:rPr>
          <w:rFonts w:hint="cs"/>
          <w:b/>
          <w:bCs/>
          <w:sz w:val="24"/>
          <w:szCs w:val="24"/>
          <w:rtl/>
        </w:rPr>
        <w:t xml:space="preserve"> </w:t>
      </w:r>
      <w:r w:rsidR="00B31062" w:rsidRPr="00B31062">
        <w:rPr>
          <w:rFonts w:hint="cs"/>
          <w:b/>
          <w:bCs/>
          <w:sz w:val="24"/>
          <w:szCs w:val="24"/>
          <w:rtl/>
        </w:rPr>
        <w:t>-</w:t>
      </w:r>
      <w:r w:rsidR="00B31062">
        <w:rPr>
          <w:rFonts w:hint="cs"/>
          <w:sz w:val="24"/>
          <w:szCs w:val="24"/>
          <w:rtl/>
        </w:rPr>
        <w:t xml:space="preserve"> </w:t>
      </w:r>
      <w:r w:rsidRPr="00B057E3">
        <w:rPr>
          <w:rFonts w:hint="cs"/>
          <w:b/>
          <w:bCs/>
          <w:sz w:val="24"/>
          <w:szCs w:val="24"/>
          <w:rtl/>
        </w:rPr>
        <w:t xml:space="preserve"> </w:t>
      </w:r>
    </w:p>
    <w:p w:rsidR="002D7634" w:rsidRDefault="00AF60E5" w:rsidP="00C20BE4">
      <w:pPr>
        <w:pStyle w:val="Hesber1st"/>
        <w:tabs>
          <w:tab w:val="clear" w:pos="680"/>
        </w:tabs>
        <w:rPr>
          <w:sz w:val="24"/>
          <w:szCs w:val="24"/>
          <w:rtl/>
        </w:rPr>
      </w:pPr>
      <w:r>
        <w:rPr>
          <w:rFonts w:hint="cs"/>
          <w:sz w:val="24"/>
          <w:szCs w:val="24"/>
          <w:rtl/>
        </w:rPr>
        <w:t xml:space="preserve">מוצע למחוק את סעיף </w:t>
      </w:r>
      <w:r w:rsidR="00C3120A">
        <w:rPr>
          <w:rFonts w:hint="cs"/>
          <w:sz w:val="24"/>
          <w:szCs w:val="24"/>
          <w:rtl/>
        </w:rPr>
        <w:t>71ד</w:t>
      </w:r>
      <w:r>
        <w:rPr>
          <w:rFonts w:hint="cs"/>
          <w:sz w:val="24"/>
          <w:szCs w:val="24"/>
          <w:rtl/>
        </w:rPr>
        <w:t>(ג) ש</w:t>
      </w:r>
      <w:r w:rsidR="002D7634">
        <w:rPr>
          <w:rFonts w:hint="cs"/>
          <w:sz w:val="24"/>
          <w:szCs w:val="24"/>
          <w:rtl/>
        </w:rPr>
        <w:t>מא</w:t>
      </w:r>
      <w:r w:rsidR="00CD73CF">
        <w:rPr>
          <w:rFonts w:hint="cs"/>
          <w:sz w:val="24"/>
          <w:szCs w:val="24"/>
          <w:rtl/>
        </w:rPr>
        <w:t xml:space="preserve">פשר לבעלי הזיכיונות בערוץ 2 </w:t>
      </w:r>
      <w:r w:rsidR="002D7634">
        <w:rPr>
          <w:sz w:val="24"/>
          <w:szCs w:val="24"/>
          <w:rtl/>
        </w:rPr>
        <w:t>להגיש בקשה לרישיון</w:t>
      </w:r>
      <w:r w:rsidR="002D7634">
        <w:rPr>
          <w:rFonts w:hint="cs"/>
          <w:sz w:val="24"/>
          <w:szCs w:val="24"/>
          <w:rtl/>
        </w:rPr>
        <w:t xml:space="preserve">, </w:t>
      </w:r>
      <w:r w:rsidR="00CD73CF" w:rsidRPr="00CD73CF">
        <w:rPr>
          <w:sz w:val="24"/>
          <w:szCs w:val="24"/>
          <w:rtl/>
        </w:rPr>
        <w:t xml:space="preserve">לא יאוחר משנה לפני תום תקופת הזיכיון. הואיל ומטרת החוק המוצע היא לקצר את תקופת הזיכיון ולקבוע כי </w:t>
      </w:r>
      <w:r w:rsidR="002D7634">
        <w:rPr>
          <w:rFonts w:hint="cs"/>
          <w:sz w:val="24"/>
          <w:szCs w:val="24"/>
          <w:rtl/>
        </w:rPr>
        <w:t xml:space="preserve">בעלי הזיכיונות </w:t>
      </w:r>
      <w:r w:rsidR="00CD73CF" w:rsidRPr="00CD73CF">
        <w:rPr>
          <w:sz w:val="24"/>
          <w:szCs w:val="24"/>
          <w:rtl/>
        </w:rPr>
        <w:t>יעברו לרישיונות ב</w:t>
      </w:r>
      <w:r w:rsidR="002D7634">
        <w:rPr>
          <w:rFonts w:hint="cs"/>
          <w:sz w:val="24"/>
          <w:szCs w:val="24"/>
          <w:rtl/>
        </w:rPr>
        <w:t>-</w:t>
      </w:r>
      <w:r w:rsidR="007C593E">
        <w:rPr>
          <w:sz w:val="24"/>
          <w:szCs w:val="24"/>
          <w:rtl/>
        </w:rPr>
        <w:t xml:space="preserve"> 1 </w:t>
      </w:r>
      <w:r w:rsidR="00C20BE4">
        <w:rPr>
          <w:rFonts w:hint="cs"/>
          <w:sz w:val="24"/>
          <w:szCs w:val="24"/>
          <w:rtl/>
        </w:rPr>
        <w:t>באפריל</w:t>
      </w:r>
      <w:r w:rsidR="007C593E">
        <w:rPr>
          <w:sz w:val="24"/>
          <w:szCs w:val="24"/>
          <w:rtl/>
        </w:rPr>
        <w:t xml:space="preserve"> 2015, סעיף זה מתייתר</w:t>
      </w:r>
      <w:r>
        <w:rPr>
          <w:rFonts w:hint="cs"/>
          <w:sz w:val="24"/>
          <w:szCs w:val="24"/>
          <w:rtl/>
        </w:rPr>
        <w:t xml:space="preserve">. </w:t>
      </w:r>
    </w:p>
    <w:p w:rsidR="00C3120A" w:rsidRDefault="00AF60E5" w:rsidP="00C3120A">
      <w:pPr>
        <w:pStyle w:val="Hesber1st"/>
        <w:tabs>
          <w:tab w:val="clear" w:pos="680"/>
        </w:tabs>
        <w:rPr>
          <w:sz w:val="24"/>
          <w:szCs w:val="24"/>
          <w:rtl/>
        </w:rPr>
      </w:pPr>
      <w:r>
        <w:rPr>
          <w:rFonts w:hint="cs"/>
          <w:sz w:val="24"/>
          <w:szCs w:val="24"/>
          <w:rtl/>
        </w:rPr>
        <w:t xml:space="preserve">כמו כן, </w:t>
      </w:r>
      <w:r w:rsidR="007C593E">
        <w:rPr>
          <w:rFonts w:hint="cs"/>
          <w:sz w:val="24"/>
          <w:szCs w:val="24"/>
          <w:rtl/>
        </w:rPr>
        <w:t xml:space="preserve">מוצע למחוק את </w:t>
      </w:r>
      <w:r>
        <w:rPr>
          <w:rFonts w:hint="cs"/>
          <w:sz w:val="24"/>
          <w:szCs w:val="24"/>
          <w:rtl/>
        </w:rPr>
        <w:t xml:space="preserve">סעיף </w:t>
      </w:r>
      <w:r w:rsidR="00C3120A">
        <w:rPr>
          <w:rFonts w:hint="cs"/>
          <w:sz w:val="24"/>
          <w:szCs w:val="24"/>
          <w:rtl/>
        </w:rPr>
        <w:t>71ד</w:t>
      </w:r>
      <w:r>
        <w:rPr>
          <w:rFonts w:hint="cs"/>
          <w:sz w:val="24"/>
          <w:szCs w:val="24"/>
          <w:rtl/>
        </w:rPr>
        <w:t xml:space="preserve">(ד) </w:t>
      </w:r>
      <w:r w:rsidR="007C593E">
        <w:rPr>
          <w:rFonts w:hint="cs"/>
          <w:sz w:val="24"/>
          <w:szCs w:val="24"/>
          <w:rtl/>
        </w:rPr>
        <w:t>ה</w:t>
      </w:r>
      <w:r>
        <w:rPr>
          <w:rFonts w:hint="cs"/>
          <w:sz w:val="24"/>
          <w:szCs w:val="24"/>
          <w:rtl/>
        </w:rPr>
        <w:t xml:space="preserve">קובע את התנאים </w:t>
      </w:r>
      <w:r w:rsidR="007C593E">
        <w:rPr>
          <w:rFonts w:hint="cs"/>
          <w:sz w:val="24"/>
          <w:szCs w:val="24"/>
          <w:rtl/>
        </w:rPr>
        <w:t>להענקת רישיון לבעל זיכיון והוראות נוספות הקשורות לכך</w:t>
      </w:r>
      <w:r w:rsidR="00751800">
        <w:rPr>
          <w:rFonts w:hint="cs"/>
          <w:sz w:val="24"/>
          <w:szCs w:val="24"/>
          <w:rtl/>
        </w:rPr>
        <w:t>,</w:t>
      </w:r>
      <w:r w:rsidR="00C3120A">
        <w:rPr>
          <w:rFonts w:hint="cs"/>
          <w:sz w:val="24"/>
          <w:szCs w:val="24"/>
          <w:rtl/>
        </w:rPr>
        <w:t xml:space="preserve"> שכן </w:t>
      </w:r>
      <w:r w:rsidR="007C593E">
        <w:rPr>
          <w:rFonts w:hint="cs"/>
          <w:sz w:val="24"/>
          <w:szCs w:val="24"/>
          <w:rtl/>
        </w:rPr>
        <w:t>סעיף (ו1) המוצע</w:t>
      </w:r>
      <w:r w:rsidR="00C3120A">
        <w:rPr>
          <w:rFonts w:hint="cs"/>
          <w:sz w:val="24"/>
          <w:szCs w:val="24"/>
          <w:rtl/>
        </w:rPr>
        <w:t>,</w:t>
      </w:r>
      <w:r w:rsidR="007C593E">
        <w:rPr>
          <w:rFonts w:hint="cs"/>
          <w:sz w:val="24"/>
          <w:szCs w:val="24"/>
          <w:rtl/>
        </w:rPr>
        <w:t xml:space="preserve"> קובע הסדר חלופי למעבר </w:t>
      </w:r>
      <w:r w:rsidR="00751800">
        <w:rPr>
          <w:rFonts w:hint="cs"/>
          <w:sz w:val="24"/>
          <w:szCs w:val="24"/>
          <w:rtl/>
        </w:rPr>
        <w:t xml:space="preserve">בעלי הזיכיונות </w:t>
      </w:r>
      <w:r w:rsidR="00C3120A">
        <w:rPr>
          <w:rFonts w:hint="cs"/>
          <w:sz w:val="24"/>
          <w:szCs w:val="24"/>
          <w:rtl/>
        </w:rPr>
        <w:t>לרישיונות</w:t>
      </w:r>
      <w:r w:rsidR="007C593E">
        <w:rPr>
          <w:rFonts w:hint="cs"/>
          <w:sz w:val="24"/>
          <w:szCs w:val="24"/>
          <w:rtl/>
        </w:rPr>
        <w:t xml:space="preserve">. </w:t>
      </w:r>
    </w:p>
    <w:p w:rsidR="00AF60E5" w:rsidRDefault="009546CA" w:rsidP="00DD68EF">
      <w:pPr>
        <w:pStyle w:val="Hesber1st"/>
        <w:tabs>
          <w:tab w:val="clear" w:pos="680"/>
        </w:tabs>
        <w:rPr>
          <w:sz w:val="24"/>
          <w:szCs w:val="24"/>
          <w:rtl/>
        </w:rPr>
      </w:pPr>
      <w:r>
        <w:rPr>
          <w:rFonts w:hint="cs"/>
          <w:sz w:val="24"/>
          <w:szCs w:val="24"/>
          <w:rtl/>
        </w:rPr>
        <w:t>בנוסף</w:t>
      </w:r>
      <w:r w:rsidR="00AF60E5">
        <w:rPr>
          <w:rFonts w:hint="cs"/>
          <w:sz w:val="24"/>
          <w:szCs w:val="24"/>
          <w:rtl/>
        </w:rPr>
        <w:t xml:space="preserve">, מוצע למחוק את סעיף </w:t>
      </w:r>
      <w:r w:rsidR="00C3120A">
        <w:rPr>
          <w:rFonts w:hint="cs"/>
          <w:sz w:val="24"/>
          <w:szCs w:val="24"/>
          <w:rtl/>
        </w:rPr>
        <w:t>71ד</w:t>
      </w:r>
      <w:r w:rsidR="00AF60E5">
        <w:rPr>
          <w:rFonts w:hint="cs"/>
          <w:sz w:val="24"/>
          <w:szCs w:val="24"/>
          <w:rtl/>
        </w:rPr>
        <w:t xml:space="preserve">(ה) הקובע מנגנון להשלמת מחויבויות שנצטברו עד </w:t>
      </w:r>
      <w:r w:rsidR="00AF60E5" w:rsidRPr="00943792">
        <w:rPr>
          <w:sz w:val="24"/>
          <w:szCs w:val="24"/>
          <w:rtl/>
        </w:rPr>
        <w:t>למועד תחילת תיקון 33 לחוק</w:t>
      </w:r>
      <w:r w:rsidR="00D857E2">
        <w:rPr>
          <w:rFonts w:hint="cs"/>
          <w:sz w:val="24"/>
          <w:szCs w:val="24"/>
          <w:rtl/>
        </w:rPr>
        <w:t>,</w:t>
      </w:r>
      <w:r w:rsidR="00AF60E5">
        <w:rPr>
          <w:rFonts w:hint="cs"/>
          <w:sz w:val="24"/>
          <w:szCs w:val="24"/>
          <w:rtl/>
        </w:rPr>
        <w:t xml:space="preserve"> לבעלי זיכיונות שמבקשים לעבור לרישיונות</w:t>
      </w:r>
      <w:r w:rsidR="00D857E2">
        <w:rPr>
          <w:rFonts w:hint="cs"/>
          <w:sz w:val="24"/>
          <w:szCs w:val="24"/>
          <w:rtl/>
        </w:rPr>
        <w:t>, נ</w:t>
      </w:r>
      <w:r w:rsidR="00AF60E5">
        <w:rPr>
          <w:rFonts w:hint="cs"/>
          <w:sz w:val="24"/>
          <w:szCs w:val="24"/>
          <w:rtl/>
        </w:rPr>
        <w:t xml:space="preserve">וכח </w:t>
      </w:r>
      <w:r w:rsidR="00E60A02">
        <w:rPr>
          <w:rFonts w:hint="cs"/>
          <w:sz w:val="24"/>
          <w:szCs w:val="24"/>
          <w:rtl/>
        </w:rPr>
        <w:t xml:space="preserve">העובדה כי </w:t>
      </w:r>
      <w:r w:rsidR="00AF60E5">
        <w:rPr>
          <w:rFonts w:hint="cs"/>
          <w:sz w:val="24"/>
          <w:szCs w:val="24"/>
          <w:rtl/>
        </w:rPr>
        <w:t>ה</w:t>
      </w:r>
      <w:r w:rsidR="00E60A02">
        <w:rPr>
          <w:rFonts w:hint="cs"/>
          <w:sz w:val="24"/>
          <w:szCs w:val="24"/>
          <w:rtl/>
        </w:rPr>
        <w:t xml:space="preserve">שלמת מחויבויות אלו מוסדרת בסעיף </w:t>
      </w:r>
      <w:r w:rsidR="00DD68EF">
        <w:rPr>
          <w:rFonts w:hint="cs"/>
          <w:sz w:val="24"/>
          <w:szCs w:val="24"/>
          <w:rtl/>
        </w:rPr>
        <w:t xml:space="preserve">62ג(א)(3) לחוק. </w:t>
      </w:r>
      <w:r w:rsidR="00AF60E5">
        <w:rPr>
          <w:rFonts w:hint="cs"/>
          <w:sz w:val="24"/>
          <w:szCs w:val="24"/>
          <w:rtl/>
        </w:rPr>
        <w:t xml:space="preserve"> </w:t>
      </w:r>
    </w:p>
    <w:p w:rsidR="008114AF" w:rsidRDefault="008114AF" w:rsidP="00B31062">
      <w:pPr>
        <w:pStyle w:val="Hesber1st"/>
        <w:tabs>
          <w:tab w:val="clear" w:pos="680"/>
        </w:tabs>
        <w:rPr>
          <w:b/>
          <w:bCs/>
          <w:sz w:val="24"/>
          <w:szCs w:val="24"/>
          <w:rtl/>
        </w:rPr>
      </w:pPr>
    </w:p>
    <w:p w:rsidR="00AF60E5" w:rsidRPr="00B057E3" w:rsidRDefault="00AF60E5" w:rsidP="00B31062">
      <w:pPr>
        <w:pStyle w:val="Hesber1st"/>
        <w:tabs>
          <w:tab w:val="clear" w:pos="680"/>
        </w:tabs>
        <w:rPr>
          <w:b/>
          <w:bCs/>
          <w:sz w:val="24"/>
          <w:szCs w:val="24"/>
          <w:rtl/>
        </w:rPr>
      </w:pPr>
      <w:r>
        <w:rPr>
          <w:rFonts w:hint="cs"/>
          <w:b/>
          <w:bCs/>
          <w:sz w:val="24"/>
          <w:szCs w:val="24"/>
          <w:rtl/>
        </w:rPr>
        <w:t>לסעיף ג</w:t>
      </w:r>
      <w:r w:rsidRPr="00B057E3">
        <w:rPr>
          <w:rFonts w:hint="cs"/>
          <w:b/>
          <w:bCs/>
          <w:sz w:val="24"/>
          <w:szCs w:val="24"/>
          <w:rtl/>
        </w:rPr>
        <w:t xml:space="preserve"> </w:t>
      </w:r>
      <w:r w:rsidR="00B31062" w:rsidRPr="00B31062">
        <w:rPr>
          <w:rFonts w:hint="cs"/>
          <w:b/>
          <w:bCs/>
          <w:sz w:val="24"/>
          <w:szCs w:val="24"/>
          <w:rtl/>
        </w:rPr>
        <w:t>-</w:t>
      </w:r>
    </w:p>
    <w:p w:rsidR="003312F7" w:rsidRDefault="00AF60E5" w:rsidP="009546CA">
      <w:pPr>
        <w:pStyle w:val="Hesber1st"/>
        <w:tabs>
          <w:tab w:val="clear" w:pos="680"/>
        </w:tabs>
        <w:rPr>
          <w:sz w:val="24"/>
          <w:szCs w:val="24"/>
          <w:rtl/>
        </w:rPr>
      </w:pPr>
      <w:r>
        <w:rPr>
          <w:rFonts w:hint="cs"/>
          <w:sz w:val="24"/>
          <w:szCs w:val="24"/>
          <w:rtl/>
        </w:rPr>
        <w:t>בהתאם לתיקון המוצע, המעבר לרישיונו</w:t>
      </w:r>
      <w:r>
        <w:rPr>
          <w:rFonts w:hint="eastAsia"/>
          <w:sz w:val="24"/>
          <w:szCs w:val="24"/>
          <w:rtl/>
        </w:rPr>
        <w:t>ת</w:t>
      </w:r>
      <w:r>
        <w:rPr>
          <w:rFonts w:hint="cs"/>
          <w:sz w:val="24"/>
          <w:szCs w:val="24"/>
          <w:rtl/>
        </w:rPr>
        <w:t xml:space="preserve"> יבוצע בכפוף להודעת בעל הזיכיון לרשות השנייה על רצונו לעבור לריש</w:t>
      </w:r>
      <w:r w:rsidR="00E4512C">
        <w:rPr>
          <w:rFonts w:hint="cs"/>
          <w:sz w:val="24"/>
          <w:szCs w:val="24"/>
          <w:rtl/>
        </w:rPr>
        <w:t>יון ועמידתו בתנאים הקבועים בחוק</w:t>
      </w:r>
      <w:r>
        <w:rPr>
          <w:rFonts w:hint="cs"/>
          <w:sz w:val="24"/>
          <w:szCs w:val="24"/>
          <w:rtl/>
        </w:rPr>
        <w:t xml:space="preserve"> ולא יחייב בקשה ל</w:t>
      </w:r>
      <w:r w:rsidR="00793EB4">
        <w:rPr>
          <w:rFonts w:hint="cs"/>
          <w:sz w:val="24"/>
          <w:szCs w:val="24"/>
          <w:rtl/>
        </w:rPr>
        <w:t>קבלת רישיון</w:t>
      </w:r>
      <w:r w:rsidR="00E4512C">
        <w:rPr>
          <w:rFonts w:hint="cs"/>
          <w:sz w:val="24"/>
          <w:szCs w:val="24"/>
          <w:rtl/>
        </w:rPr>
        <w:t>,</w:t>
      </w:r>
      <w:r w:rsidR="00793EB4">
        <w:rPr>
          <w:rFonts w:hint="cs"/>
          <w:sz w:val="24"/>
          <w:szCs w:val="24"/>
          <w:rtl/>
        </w:rPr>
        <w:t xml:space="preserve"> כפי שקבוע בחוק כיום. </w:t>
      </w:r>
      <w:r>
        <w:rPr>
          <w:rFonts w:hint="cs"/>
          <w:sz w:val="24"/>
          <w:szCs w:val="24"/>
          <w:rtl/>
        </w:rPr>
        <w:t xml:space="preserve"> מוצע להתאים את </w:t>
      </w:r>
      <w:r w:rsidR="00793EB4">
        <w:rPr>
          <w:rFonts w:hint="cs"/>
          <w:sz w:val="24"/>
          <w:szCs w:val="24"/>
          <w:rtl/>
        </w:rPr>
        <w:t xml:space="preserve">סעיף </w:t>
      </w:r>
      <w:r w:rsidR="00B372E6">
        <w:rPr>
          <w:rFonts w:hint="cs"/>
          <w:sz w:val="24"/>
          <w:szCs w:val="24"/>
          <w:rtl/>
        </w:rPr>
        <w:t>71ד(</w:t>
      </w:r>
      <w:r w:rsidR="00793EB4">
        <w:rPr>
          <w:rFonts w:hint="cs"/>
          <w:sz w:val="24"/>
          <w:szCs w:val="24"/>
          <w:rtl/>
        </w:rPr>
        <w:t>ו)</w:t>
      </w:r>
      <w:r>
        <w:rPr>
          <w:rFonts w:hint="cs"/>
          <w:sz w:val="24"/>
          <w:szCs w:val="24"/>
          <w:rtl/>
        </w:rPr>
        <w:t xml:space="preserve"> באופן שיותיר את תחולתו ויאפשר לבעלי הזיכיונות להשלים מחויבויות תוכן שלא הושלמו במהלך תקופת הזיכיון. </w:t>
      </w:r>
    </w:p>
    <w:p w:rsidR="00AF60E5" w:rsidRDefault="009546CA" w:rsidP="008114AF">
      <w:pPr>
        <w:pStyle w:val="Hesber1st"/>
        <w:tabs>
          <w:tab w:val="clear" w:pos="680"/>
        </w:tabs>
        <w:rPr>
          <w:sz w:val="24"/>
          <w:szCs w:val="24"/>
          <w:rtl/>
        </w:rPr>
      </w:pPr>
      <w:r>
        <w:rPr>
          <w:rFonts w:hint="cs"/>
          <w:sz w:val="24"/>
          <w:szCs w:val="24"/>
          <w:rtl/>
        </w:rPr>
        <w:t>בנוסף</w:t>
      </w:r>
      <w:r w:rsidR="00AF60E5">
        <w:rPr>
          <w:rFonts w:hint="cs"/>
          <w:sz w:val="24"/>
          <w:szCs w:val="24"/>
          <w:rtl/>
        </w:rPr>
        <w:t xml:space="preserve">, מוצע להוסיף </w:t>
      </w:r>
      <w:r w:rsidR="00793EB4">
        <w:rPr>
          <w:rFonts w:hint="cs"/>
          <w:sz w:val="24"/>
          <w:szCs w:val="24"/>
          <w:rtl/>
        </w:rPr>
        <w:t xml:space="preserve">לסעיף 71ד(ו) </w:t>
      </w:r>
      <w:r w:rsidR="00AF60E5">
        <w:rPr>
          <w:rFonts w:hint="cs"/>
          <w:sz w:val="24"/>
          <w:szCs w:val="24"/>
          <w:rtl/>
        </w:rPr>
        <w:t xml:space="preserve">את </w:t>
      </w:r>
      <w:r w:rsidR="00DD68EF">
        <w:rPr>
          <w:rFonts w:hint="cs"/>
          <w:sz w:val="24"/>
          <w:szCs w:val="24"/>
          <w:rtl/>
        </w:rPr>
        <w:t>פסקה</w:t>
      </w:r>
      <w:r w:rsidR="00AF60E5">
        <w:rPr>
          <w:rFonts w:hint="cs"/>
          <w:sz w:val="24"/>
          <w:szCs w:val="24"/>
          <w:rtl/>
        </w:rPr>
        <w:t xml:space="preserve"> (4) </w:t>
      </w:r>
      <w:r w:rsidR="00DD68EF">
        <w:rPr>
          <w:rFonts w:hint="cs"/>
          <w:sz w:val="24"/>
          <w:szCs w:val="24"/>
          <w:rtl/>
        </w:rPr>
        <w:t>הקובעת</w:t>
      </w:r>
      <w:r w:rsidR="00AF60E5">
        <w:rPr>
          <w:rFonts w:hint="cs"/>
          <w:sz w:val="24"/>
          <w:szCs w:val="24"/>
          <w:rtl/>
        </w:rPr>
        <w:t xml:space="preserve"> מנגנון להשלמת מחויבויות תוכן שנוצרו לאחר מועד תחילתו של </w:t>
      </w:r>
      <w:r w:rsidR="00087860">
        <w:rPr>
          <w:rFonts w:hint="cs"/>
          <w:sz w:val="24"/>
          <w:szCs w:val="24"/>
          <w:rtl/>
        </w:rPr>
        <w:t>תיקון 37 לחוק ועד לקבלת הרישיון</w:t>
      </w:r>
      <w:r w:rsidR="008114AF">
        <w:rPr>
          <w:rFonts w:hint="cs"/>
          <w:sz w:val="24"/>
          <w:szCs w:val="24"/>
          <w:rtl/>
        </w:rPr>
        <w:t xml:space="preserve">, אשר </w:t>
      </w:r>
      <w:r w:rsidR="00DD68EF">
        <w:rPr>
          <w:rFonts w:hint="cs"/>
          <w:sz w:val="24"/>
          <w:szCs w:val="24"/>
          <w:rtl/>
        </w:rPr>
        <w:t>אינן נובעות מהפרש הכנסה</w:t>
      </w:r>
      <w:r w:rsidR="00087860">
        <w:rPr>
          <w:rFonts w:hint="cs"/>
          <w:sz w:val="24"/>
          <w:szCs w:val="24"/>
          <w:rtl/>
        </w:rPr>
        <w:t xml:space="preserve">, </w:t>
      </w:r>
      <w:r w:rsidR="00AF60E5">
        <w:rPr>
          <w:rFonts w:hint="cs"/>
          <w:sz w:val="24"/>
          <w:szCs w:val="24"/>
          <w:rtl/>
        </w:rPr>
        <w:t xml:space="preserve">בתוך שנה ממועד קבלת הרישיון. </w:t>
      </w:r>
    </w:p>
    <w:p w:rsidR="00DD68EF" w:rsidRDefault="00DD68EF" w:rsidP="00DD68EF">
      <w:pPr>
        <w:pStyle w:val="Hesber1st"/>
        <w:tabs>
          <w:tab w:val="clear" w:pos="680"/>
        </w:tabs>
        <w:rPr>
          <w:sz w:val="24"/>
          <w:szCs w:val="24"/>
          <w:rtl/>
        </w:rPr>
      </w:pPr>
    </w:p>
    <w:p w:rsidR="00AF60E5" w:rsidRPr="007A2F73" w:rsidRDefault="00AF60E5" w:rsidP="00B31062">
      <w:pPr>
        <w:pStyle w:val="Hesber1st"/>
        <w:tabs>
          <w:tab w:val="clear" w:pos="680"/>
        </w:tabs>
        <w:rPr>
          <w:b/>
          <w:bCs/>
          <w:sz w:val="24"/>
          <w:szCs w:val="24"/>
          <w:rtl/>
        </w:rPr>
      </w:pPr>
      <w:r w:rsidRPr="007A2F73">
        <w:rPr>
          <w:rFonts w:hint="cs"/>
          <w:b/>
          <w:bCs/>
          <w:sz w:val="24"/>
          <w:szCs w:val="24"/>
          <w:rtl/>
        </w:rPr>
        <w:t xml:space="preserve">לסעיף </w:t>
      </w:r>
      <w:r>
        <w:rPr>
          <w:rFonts w:hint="cs"/>
          <w:b/>
          <w:bCs/>
          <w:sz w:val="24"/>
          <w:szCs w:val="24"/>
          <w:rtl/>
        </w:rPr>
        <w:t>ד</w:t>
      </w:r>
      <w:r w:rsidRPr="007A2F73">
        <w:rPr>
          <w:rFonts w:hint="cs"/>
          <w:b/>
          <w:bCs/>
          <w:sz w:val="24"/>
          <w:szCs w:val="24"/>
          <w:rtl/>
        </w:rPr>
        <w:t xml:space="preserve"> </w:t>
      </w:r>
      <w:r w:rsidR="00B31062" w:rsidRPr="00B31062">
        <w:rPr>
          <w:rFonts w:hint="cs"/>
          <w:b/>
          <w:bCs/>
          <w:sz w:val="24"/>
          <w:szCs w:val="24"/>
          <w:rtl/>
        </w:rPr>
        <w:t>-</w:t>
      </w:r>
      <w:r w:rsidR="00B31062">
        <w:rPr>
          <w:rFonts w:hint="cs"/>
          <w:sz w:val="24"/>
          <w:szCs w:val="24"/>
          <w:rtl/>
        </w:rPr>
        <w:t xml:space="preserve"> </w:t>
      </w:r>
      <w:r w:rsidRPr="007A2F73">
        <w:rPr>
          <w:rFonts w:hint="cs"/>
          <w:b/>
          <w:bCs/>
          <w:sz w:val="24"/>
          <w:szCs w:val="24"/>
          <w:rtl/>
        </w:rPr>
        <w:t xml:space="preserve"> </w:t>
      </w:r>
    </w:p>
    <w:p w:rsidR="00AF60E5" w:rsidRPr="00A67C98" w:rsidRDefault="00AF60E5" w:rsidP="00C20BE4">
      <w:pPr>
        <w:pStyle w:val="Hesber1st"/>
        <w:tabs>
          <w:tab w:val="clear" w:pos="680"/>
        </w:tabs>
        <w:rPr>
          <w:sz w:val="24"/>
          <w:szCs w:val="24"/>
          <w:rtl/>
        </w:rPr>
      </w:pPr>
      <w:r>
        <w:rPr>
          <w:rFonts w:hint="cs"/>
          <w:sz w:val="24"/>
          <w:szCs w:val="24"/>
          <w:rtl/>
        </w:rPr>
        <w:t xml:space="preserve">מוצע להוסיף </w:t>
      </w:r>
      <w:r w:rsidR="007653D6">
        <w:rPr>
          <w:rFonts w:hint="cs"/>
          <w:sz w:val="24"/>
          <w:szCs w:val="24"/>
          <w:rtl/>
        </w:rPr>
        <w:t xml:space="preserve">לסעיף 71ד </w:t>
      </w:r>
      <w:r>
        <w:rPr>
          <w:rFonts w:hint="cs"/>
          <w:sz w:val="24"/>
          <w:szCs w:val="24"/>
          <w:rtl/>
        </w:rPr>
        <w:t>את סעיפים קטנים (ו1) עד (ו4). בסעי</w:t>
      </w:r>
      <w:r w:rsidR="00233A3A">
        <w:rPr>
          <w:rFonts w:hint="cs"/>
          <w:sz w:val="24"/>
          <w:szCs w:val="24"/>
          <w:rtl/>
        </w:rPr>
        <w:t>פים</w:t>
      </w:r>
      <w:r>
        <w:rPr>
          <w:rFonts w:hint="cs"/>
          <w:sz w:val="24"/>
          <w:szCs w:val="24"/>
          <w:rtl/>
        </w:rPr>
        <w:t xml:space="preserve"> (ו1) </w:t>
      </w:r>
      <w:r w:rsidR="00B3768B">
        <w:rPr>
          <w:rFonts w:hint="cs"/>
          <w:sz w:val="24"/>
          <w:szCs w:val="24"/>
          <w:rtl/>
        </w:rPr>
        <w:t xml:space="preserve">ו-(ו2) </w:t>
      </w:r>
      <w:r>
        <w:rPr>
          <w:rFonts w:hint="cs"/>
          <w:sz w:val="24"/>
          <w:szCs w:val="24"/>
          <w:rtl/>
        </w:rPr>
        <w:t>מוצע לאפשר ל</w:t>
      </w:r>
      <w:r w:rsidRPr="00A67C98">
        <w:rPr>
          <w:rFonts w:hint="cs"/>
          <w:sz w:val="24"/>
          <w:szCs w:val="24"/>
          <w:rtl/>
        </w:rPr>
        <w:t xml:space="preserve">בעלי </w:t>
      </w:r>
      <w:r>
        <w:rPr>
          <w:rFonts w:hint="cs"/>
          <w:sz w:val="24"/>
          <w:szCs w:val="24"/>
          <w:rtl/>
        </w:rPr>
        <w:t>הזיכיונות בערוץ 2 להודיע אם ברצונם לקבל</w:t>
      </w:r>
      <w:r w:rsidRPr="00A67C98">
        <w:rPr>
          <w:rFonts w:hint="cs"/>
          <w:sz w:val="24"/>
          <w:szCs w:val="24"/>
          <w:rtl/>
        </w:rPr>
        <w:t xml:space="preserve"> רישיון לשידורי טלוויזיה </w:t>
      </w:r>
      <w:r w:rsidR="00B3768B">
        <w:rPr>
          <w:rFonts w:hint="cs"/>
          <w:sz w:val="24"/>
          <w:szCs w:val="24"/>
          <w:rtl/>
        </w:rPr>
        <w:t>שתחילתו תהיה ביום ה-1 ב</w:t>
      </w:r>
      <w:r w:rsidR="00C20BE4">
        <w:rPr>
          <w:rFonts w:hint="cs"/>
          <w:sz w:val="24"/>
          <w:szCs w:val="24"/>
          <w:rtl/>
        </w:rPr>
        <w:t>אפריל</w:t>
      </w:r>
      <w:r w:rsidR="00B3768B">
        <w:rPr>
          <w:rFonts w:hint="cs"/>
          <w:sz w:val="24"/>
          <w:szCs w:val="24"/>
          <w:rtl/>
        </w:rPr>
        <w:t xml:space="preserve"> 2015. מוצע כי ההודעה תימסר </w:t>
      </w:r>
      <w:r w:rsidRPr="00A67C98">
        <w:rPr>
          <w:rFonts w:hint="cs"/>
          <w:sz w:val="24"/>
          <w:szCs w:val="24"/>
          <w:rtl/>
        </w:rPr>
        <w:t xml:space="preserve">בתוך 14 ימים מיום </w:t>
      </w:r>
      <w:r>
        <w:rPr>
          <w:rFonts w:hint="cs"/>
          <w:sz w:val="24"/>
          <w:szCs w:val="24"/>
          <w:rtl/>
        </w:rPr>
        <w:t>כניסת ה</w:t>
      </w:r>
      <w:r w:rsidRPr="00A67C98">
        <w:rPr>
          <w:rFonts w:hint="cs"/>
          <w:sz w:val="24"/>
          <w:szCs w:val="24"/>
          <w:rtl/>
        </w:rPr>
        <w:t>חוק</w:t>
      </w:r>
      <w:r>
        <w:rPr>
          <w:rFonts w:hint="cs"/>
          <w:sz w:val="24"/>
          <w:szCs w:val="24"/>
          <w:rtl/>
        </w:rPr>
        <w:t xml:space="preserve"> </w:t>
      </w:r>
      <w:r w:rsidR="00B3768B">
        <w:rPr>
          <w:rFonts w:hint="cs"/>
          <w:sz w:val="24"/>
          <w:szCs w:val="24"/>
          <w:rtl/>
        </w:rPr>
        <w:t xml:space="preserve">המתקן </w:t>
      </w:r>
      <w:r>
        <w:rPr>
          <w:rFonts w:hint="cs"/>
          <w:sz w:val="24"/>
          <w:szCs w:val="24"/>
          <w:rtl/>
        </w:rPr>
        <w:t>לתוקף</w:t>
      </w:r>
      <w:r w:rsidRPr="00A67C98">
        <w:rPr>
          <w:rFonts w:hint="cs"/>
          <w:sz w:val="24"/>
          <w:szCs w:val="24"/>
          <w:rtl/>
        </w:rPr>
        <w:t xml:space="preserve">. </w:t>
      </w:r>
      <w:r>
        <w:rPr>
          <w:rFonts w:hint="cs"/>
          <w:sz w:val="24"/>
          <w:szCs w:val="24"/>
          <w:rtl/>
        </w:rPr>
        <w:t xml:space="preserve">תנאי למעבר לרישיון הוא עמידה בכל התנאים המנויים בחוק </w:t>
      </w:r>
      <w:r w:rsidR="00B3768B">
        <w:rPr>
          <w:rFonts w:hint="cs"/>
          <w:sz w:val="24"/>
          <w:szCs w:val="24"/>
          <w:rtl/>
        </w:rPr>
        <w:t xml:space="preserve">להשתתפות </w:t>
      </w:r>
      <w:r w:rsidRPr="007A2F73">
        <w:rPr>
          <w:sz w:val="24"/>
          <w:szCs w:val="24"/>
          <w:rtl/>
        </w:rPr>
        <w:t>במכרז או להיות בעל זיכיון בערוץ 2</w:t>
      </w:r>
      <w:r>
        <w:rPr>
          <w:rFonts w:hint="cs"/>
          <w:sz w:val="24"/>
          <w:szCs w:val="24"/>
          <w:rtl/>
        </w:rPr>
        <w:t xml:space="preserve"> או בעל</w:t>
      </w:r>
      <w:r w:rsidRPr="007A2F73">
        <w:rPr>
          <w:sz w:val="24"/>
          <w:szCs w:val="24"/>
          <w:rtl/>
        </w:rPr>
        <w:t xml:space="preserve"> רישיון</w:t>
      </w:r>
      <w:r>
        <w:rPr>
          <w:rFonts w:hint="cs"/>
          <w:sz w:val="24"/>
          <w:szCs w:val="24"/>
          <w:rtl/>
        </w:rPr>
        <w:t>.</w:t>
      </w:r>
    </w:p>
    <w:p w:rsidR="00AF60E5" w:rsidRDefault="00AF60E5" w:rsidP="00AF60E5">
      <w:pPr>
        <w:pStyle w:val="Hesber1st"/>
        <w:tabs>
          <w:tab w:val="clear" w:pos="680"/>
        </w:tabs>
        <w:rPr>
          <w:sz w:val="24"/>
          <w:szCs w:val="24"/>
          <w:rtl/>
        </w:rPr>
      </w:pPr>
      <w:r w:rsidRPr="008D60F7">
        <w:rPr>
          <w:rFonts w:hint="cs"/>
          <w:sz w:val="24"/>
          <w:szCs w:val="24"/>
          <w:rtl/>
        </w:rPr>
        <w:lastRenderedPageBreak/>
        <w:t>באופן זה</w:t>
      </w:r>
      <w:r>
        <w:rPr>
          <w:rFonts w:hint="cs"/>
          <w:sz w:val="24"/>
          <w:szCs w:val="24"/>
          <w:rtl/>
        </w:rPr>
        <w:t>,</w:t>
      </w:r>
      <w:r w:rsidRPr="008D60F7">
        <w:rPr>
          <w:rFonts w:hint="cs"/>
          <w:sz w:val="24"/>
          <w:szCs w:val="24"/>
          <w:rtl/>
        </w:rPr>
        <w:t xml:space="preserve"> יתאפשר לבעלי הזיכיונות הקיימים להמשיך ולפעול באפיקים נפרדים ושונים כבעלי רישיו</w:t>
      </w:r>
      <w:r>
        <w:rPr>
          <w:rFonts w:hint="cs"/>
          <w:sz w:val="24"/>
          <w:szCs w:val="24"/>
          <w:rtl/>
        </w:rPr>
        <w:t xml:space="preserve">נות ובהתאם לשיטת האסדרה החדשה. </w:t>
      </w:r>
    </w:p>
    <w:p w:rsidR="00AF60E5" w:rsidRDefault="00AF60E5" w:rsidP="00B22AD0">
      <w:pPr>
        <w:pStyle w:val="Hesber1st"/>
        <w:tabs>
          <w:tab w:val="clear" w:pos="680"/>
        </w:tabs>
        <w:rPr>
          <w:sz w:val="24"/>
          <w:szCs w:val="24"/>
          <w:rtl/>
        </w:rPr>
      </w:pPr>
      <w:r w:rsidRPr="00A67C98">
        <w:rPr>
          <w:rFonts w:hint="cs"/>
          <w:sz w:val="24"/>
          <w:szCs w:val="24"/>
          <w:rtl/>
        </w:rPr>
        <w:t>עוד מוצע</w:t>
      </w:r>
      <w:r>
        <w:rPr>
          <w:rFonts w:hint="cs"/>
          <w:sz w:val="24"/>
          <w:szCs w:val="24"/>
          <w:rtl/>
        </w:rPr>
        <w:t>, להוסיף את סעיף (ו3) ולקבוע</w:t>
      </w:r>
      <w:r w:rsidRPr="00A67C98">
        <w:rPr>
          <w:rFonts w:hint="cs"/>
          <w:sz w:val="24"/>
          <w:szCs w:val="24"/>
          <w:rtl/>
        </w:rPr>
        <w:t xml:space="preserve"> כי בעל</w:t>
      </w:r>
      <w:r>
        <w:rPr>
          <w:rFonts w:hint="cs"/>
          <w:sz w:val="24"/>
          <w:szCs w:val="24"/>
          <w:rtl/>
        </w:rPr>
        <w:t>י</w:t>
      </w:r>
      <w:r w:rsidRPr="00A67C98">
        <w:rPr>
          <w:rFonts w:hint="cs"/>
          <w:sz w:val="24"/>
          <w:szCs w:val="24"/>
          <w:rtl/>
        </w:rPr>
        <w:t xml:space="preserve"> </w:t>
      </w:r>
      <w:r>
        <w:rPr>
          <w:rFonts w:hint="cs"/>
          <w:sz w:val="24"/>
          <w:szCs w:val="24"/>
          <w:rtl/>
        </w:rPr>
        <w:t>הזיכיונות בערוץ 2</w:t>
      </w:r>
      <w:r w:rsidRPr="00A67C98">
        <w:rPr>
          <w:rFonts w:hint="cs"/>
          <w:sz w:val="24"/>
          <w:szCs w:val="24"/>
          <w:rtl/>
        </w:rPr>
        <w:t xml:space="preserve"> יודיע</w:t>
      </w:r>
      <w:r>
        <w:rPr>
          <w:rFonts w:hint="cs"/>
          <w:sz w:val="24"/>
          <w:szCs w:val="24"/>
          <w:rtl/>
        </w:rPr>
        <w:t>ו</w:t>
      </w:r>
      <w:r w:rsidRPr="00A67C98">
        <w:rPr>
          <w:rFonts w:hint="cs"/>
          <w:sz w:val="24"/>
          <w:szCs w:val="24"/>
          <w:rtl/>
        </w:rPr>
        <w:t xml:space="preserve"> לרש</w:t>
      </w:r>
      <w:r>
        <w:rPr>
          <w:rFonts w:hint="cs"/>
          <w:sz w:val="24"/>
          <w:szCs w:val="24"/>
          <w:rtl/>
        </w:rPr>
        <w:t>ו</w:t>
      </w:r>
      <w:r w:rsidRPr="00A67C98">
        <w:rPr>
          <w:rFonts w:hint="cs"/>
          <w:sz w:val="24"/>
          <w:szCs w:val="24"/>
          <w:rtl/>
        </w:rPr>
        <w:t xml:space="preserve">ת </w:t>
      </w:r>
      <w:r>
        <w:rPr>
          <w:rFonts w:hint="cs"/>
          <w:sz w:val="24"/>
          <w:szCs w:val="24"/>
          <w:rtl/>
        </w:rPr>
        <w:t xml:space="preserve">השנייה </w:t>
      </w:r>
      <w:r w:rsidRPr="00A67C98">
        <w:rPr>
          <w:rFonts w:hint="cs"/>
          <w:sz w:val="24"/>
          <w:szCs w:val="24"/>
          <w:rtl/>
        </w:rPr>
        <w:t xml:space="preserve">בתוך </w:t>
      </w:r>
      <w:r>
        <w:rPr>
          <w:rFonts w:hint="cs"/>
          <w:sz w:val="24"/>
          <w:szCs w:val="24"/>
          <w:rtl/>
        </w:rPr>
        <w:t>14</w:t>
      </w:r>
      <w:r w:rsidRPr="00A67C98">
        <w:rPr>
          <w:rFonts w:hint="cs"/>
          <w:sz w:val="24"/>
          <w:szCs w:val="24"/>
          <w:rtl/>
        </w:rPr>
        <w:t xml:space="preserve"> ימים </w:t>
      </w:r>
      <w:r>
        <w:rPr>
          <w:rFonts w:hint="cs"/>
          <w:sz w:val="24"/>
          <w:szCs w:val="24"/>
          <w:rtl/>
        </w:rPr>
        <w:t xml:space="preserve">מיום </w:t>
      </w:r>
      <w:r w:rsidR="00B22AD0">
        <w:rPr>
          <w:rFonts w:hint="cs"/>
          <w:sz w:val="24"/>
          <w:szCs w:val="24"/>
          <w:rtl/>
        </w:rPr>
        <w:t>כניסת</w:t>
      </w:r>
      <w:r>
        <w:rPr>
          <w:rFonts w:hint="cs"/>
          <w:sz w:val="24"/>
          <w:szCs w:val="24"/>
          <w:rtl/>
        </w:rPr>
        <w:t xml:space="preserve"> החוק </w:t>
      </w:r>
      <w:r w:rsidR="00B22AD0">
        <w:rPr>
          <w:rFonts w:hint="cs"/>
          <w:sz w:val="24"/>
          <w:szCs w:val="24"/>
          <w:rtl/>
        </w:rPr>
        <w:t>לתוקף</w:t>
      </w:r>
      <w:r w:rsidR="008114AF">
        <w:rPr>
          <w:rFonts w:hint="cs"/>
          <w:sz w:val="24"/>
          <w:szCs w:val="24"/>
          <w:rtl/>
        </w:rPr>
        <w:t>,</w:t>
      </w:r>
      <w:r w:rsidR="00B22AD0">
        <w:rPr>
          <w:rFonts w:hint="cs"/>
          <w:sz w:val="24"/>
          <w:szCs w:val="24"/>
          <w:rtl/>
        </w:rPr>
        <w:t xml:space="preserve"> </w:t>
      </w:r>
      <w:r w:rsidRPr="00A67C98">
        <w:rPr>
          <w:rFonts w:hint="cs"/>
          <w:sz w:val="24"/>
          <w:szCs w:val="24"/>
          <w:rtl/>
        </w:rPr>
        <w:t xml:space="preserve">באיזה אפיק </w:t>
      </w:r>
      <w:r>
        <w:rPr>
          <w:rFonts w:hint="cs"/>
          <w:sz w:val="24"/>
          <w:szCs w:val="24"/>
          <w:rtl/>
        </w:rPr>
        <w:t>מבין האפיקים שהוחלט כי ישמשו את בעלי הרישיונו</w:t>
      </w:r>
      <w:r>
        <w:rPr>
          <w:rFonts w:hint="eastAsia"/>
          <w:sz w:val="24"/>
          <w:szCs w:val="24"/>
          <w:rtl/>
        </w:rPr>
        <w:t>ת</w:t>
      </w:r>
      <w:r>
        <w:rPr>
          <w:rFonts w:hint="cs"/>
          <w:sz w:val="24"/>
          <w:szCs w:val="24"/>
          <w:rtl/>
        </w:rPr>
        <w:t>, הם</w:t>
      </w:r>
      <w:r w:rsidRPr="00A67C98">
        <w:rPr>
          <w:rFonts w:hint="cs"/>
          <w:sz w:val="24"/>
          <w:szCs w:val="24"/>
          <w:rtl/>
        </w:rPr>
        <w:t xml:space="preserve"> </w:t>
      </w:r>
      <w:r w:rsidRPr="004C476A">
        <w:rPr>
          <w:rFonts w:hint="cs"/>
          <w:sz w:val="24"/>
          <w:szCs w:val="24"/>
          <w:rtl/>
        </w:rPr>
        <w:t>מעוני</w:t>
      </w:r>
      <w:r>
        <w:rPr>
          <w:rFonts w:hint="cs"/>
          <w:sz w:val="24"/>
          <w:szCs w:val="24"/>
          <w:rtl/>
        </w:rPr>
        <w:t>יני</w:t>
      </w:r>
      <w:r>
        <w:rPr>
          <w:rFonts w:hint="eastAsia"/>
          <w:sz w:val="24"/>
          <w:szCs w:val="24"/>
          <w:rtl/>
        </w:rPr>
        <w:t>ם</w:t>
      </w:r>
      <w:r>
        <w:rPr>
          <w:rFonts w:hint="cs"/>
          <w:sz w:val="24"/>
          <w:szCs w:val="24"/>
          <w:rtl/>
        </w:rPr>
        <w:t xml:space="preserve"> </w:t>
      </w:r>
      <w:r w:rsidRPr="00A67C98">
        <w:rPr>
          <w:rFonts w:hint="cs"/>
          <w:sz w:val="24"/>
          <w:szCs w:val="24"/>
          <w:rtl/>
        </w:rPr>
        <w:t>לעש</w:t>
      </w:r>
      <w:r>
        <w:rPr>
          <w:rFonts w:hint="cs"/>
          <w:sz w:val="24"/>
          <w:szCs w:val="24"/>
          <w:rtl/>
        </w:rPr>
        <w:t>ו</w:t>
      </w:r>
      <w:r w:rsidRPr="00A67C98">
        <w:rPr>
          <w:rFonts w:hint="cs"/>
          <w:sz w:val="24"/>
          <w:szCs w:val="24"/>
          <w:rtl/>
        </w:rPr>
        <w:t>ת שימוש עם כניסתו של הרישיון לתוקף</w:t>
      </w:r>
      <w:r>
        <w:rPr>
          <w:rFonts w:hint="cs"/>
          <w:sz w:val="24"/>
          <w:szCs w:val="24"/>
          <w:rtl/>
        </w:rPr>
        <w:t xml:space="preserve">. במקרה בו שני </w:t>
      </w:r>
      <w:r w:rsidRPr="00A67C98">
        <w:rPr>
          <w:rFonts w:hint="cs"/>
          <w:sz w:val="24"/>
          <w:szCs w:val="24"/>
          <w:rtl/>
        </w:rPr>
        <w:t>בעלי הזיכיונות הקיימים יבקשו לעש</w:t>
      </w:r>
      <w:r>
        <w:rPr>
          <w:rFonts w:hint="cs"/>
          <w:sz w:val="24"/>
          <w:szCs w:val="24"/>
          <w:rtl/>
        </w:rPr>
        <w:t>ו</w:t>
      </w:r>
      <w:r w:rsidRPr="00A67C98">
        <w:rPr>
          <w:rFonts w:hint="cs"/>
          <w:sz w:val="24"/>
          <w:szCs w:val="24"/>
          <w:rtl/>
        </w:rPr>
        <w:t>ת שימוש</w:t>
      </w:r>
      <w:r>
        <w:rPr>
          <w:rFonts w:hint="cs"/>
          <w:sz w:val="24"/>
          <w:szCs w:val="24"/>
          <w:rtl/>
        </w:rPr>
        <w:t xml:space="preserve"> ב</w:t>
      </w:r>
      <w:r w:rsidRPr="00A67C98">
        <w:rPr>
          <w:rFonts w:hint="cs"/>
          <w:sz w:val="24"/>
          <w:szCs w:val="24"/>
          <w:rtl/>
        </w:rPr>
        <w:t>אותו אפיק</w:t>
      </w:r>
      <w:r>
        <w:rPr>
          <w:rFonts w:hint="cs"/>
          <w:sz w:val="24"/>
          <w:szCs w:val="24"/>
          <w:rtl/>
        </w:rPr>
        <w:t>,</w:t>
      </w:r>
      <w:r w:rsidRPr="00A67C98">
        <w:rPr>
          <w:rFonts w:hint="cs"/>
          <w:sz w:val="24"/>
          <w:szCs w:val="24"/>
          <w:rtl/>
        </w:rPr>
        <w:t xml:space="preserve"> </w:t>
      </w:r>
      <w:r>
        <w:rPr>
          <w:rFonts w:hint="cs"/>
          <w:sz w:val="24"/>
          <w:szCs w:val="24"/>
          <w:rtl/>
        </w:rPr>
        <w:t xml:space="preserve"> מוצע כי ייערך ביניהם הליך תחרותי. </w:t>
      </w:r>
    </w:p>
    <w:p w:rsidR="00AF60E5" w:rsidRDefault="00AF60E5" w:rsidP="008114AF">
      <w:pPr>
        <w:pStyle w:val="Hesber1st"/>
        <w:rPr>
          <w:sz w:val="24"/>
          <w:szCs w:val="24"/>
          <w:rtl/>
        </w:rPr>
      </w:pPr>
      <w:r w:rsidRPr="009F6A2A">
        <w:rPr>
          <w:sz w:val="24"/>
          <w:szCs w:val="24"/>
          <w:rtl/>
        </w:rPr>
        <w:t>נוכח חשיבותם של ש</w:t>
      </w:r>
      <w:r>
        <w:rPr>
          <w:sz w:val="24"/>
          <w:szCs w:val="24"/>
          <w:rtl/>
        </w:rPr>
        <w:t xml:space="preserve">ידורי החדשות </w:t>
      </w:r>
      <w:r>
        <w:rPr>
          <w:rFonts w:hint="cs"/>
          <w:sz w:val="24"/>
          <w:szCs w:val="24"/>
          <w:rtl/>
        </w:rPr>
        <w:t>ו</w:t>
      </w:r>
      <w:r w:rsidRPr="009F6A2A">
        <w:rPr>
          <w:sz w:val="24"/>
          <w:szCs w:val="24"/>
          <w:rtl/>
        </w:rPr>
        <w:t xml:space="preserve">על מנת לשמור על מגוון בשידורי החדשות, נקבע בחוק כי כל בעל רישיון ישדר שידורי חדשות באמצעות חברת חדשות נפרדת. </w:t>
      </w:r>
    </w:p>
    <w:p w:rsidR="00AF60E5" w:rsidRPr="009F6A2A" w:rsidRDefault="00AF60E5" w:rsidP="00E402B4">
      <w:pPr>
        <w:pStyle w:val="Hesber1st"/>
        <w:rPr>
          <w:sz w:val="24"/>
          <w:szCs w:val="24"/>
          <w:rtl/>
        </w:rPr>
      </w:pPr>
      <w:r>
        <w:rPr>
          <w:rFonts w:hint="cs"/>
          <w:sz w:val="24"/>
          <w:szCs w:val="24"/>
          <w:rtl/>
        </w:rPr>
        <w:t xml:space="preserve">מוצע להוסיף את סעיף (ו4) ולקבוע כי </w:t>
      </w:r>
      <w:r w:rsidRPr="009F6A2A">
        <w:rPr>
          <w:sz w:val="24"/>
          <w:szCs w:val="24"/>
          <w:rtl/>
        </w:rPr>
        <w:t>בעל</w:t>
      </w:r>
      <w:r>
        <w:rPr>
          <w:rFonts w:hint="cs"/>
          <w:sz w:val="24"/>
          <w:szCs w:val="24"/>
          <w:rtl/>
        </w:rPr>
        <w:t>י</w:t>
      </w:r>
      <w:r w:rsidRPr="009F6A2A">
        <w:rPr>
          <w:sz w:val="24"/>
          <w:szCs w:val="24"/>
          <w:rtl/>
        </w:rPr>
        <w:t xml:space="preserve"> </w:t>
      </w:r>
      <w:r>
        <w:rPr>
          <w:rFonts w:hint="cs"/>
          <w:sz w:val="24"/>
          <w:szCs w:val="24"/>
          <w:rtl/>
        </w:rPr>
        <w:t>הזיכיונות</w:t>
      </w:r>
      <w:r w:rsidRPr="009F6A2A">
        <w:rPr>
          <w:sz w:val="24"/>
          <w:szCs w:val="24"/>
          <w:rtl/>
        </w:rPr>
        <w:t xml:space="preserve"> בערוץ 2 </w:t>
      </w:r>
      <w:r w:rsidR="00283684">
        <w:rPr>
          <w:rFonts w:hint="cs"/>
          <w:sz w:val="24"/>
          <w:szCs w:val="24"/>
          <w:rtl/>
        </w:rPr>
        <w:t>המעונייני</w:t>
      </w:r>
      <w:r w:rsidR="00283684">
        <w:rPr>
          <w:rFonts w:hint="eastAsia"/>
          <w:sz w:val="24"/>
          <w:szCs w:val="24"/>
          <w:rtl/>
        </w:rPr>
        <w:t>ם</w:t>
      </w:r>
      <w:r w:rsidR="00283684">
        <w:rPr>
          <w:rFonts w:hint="cs"/>
          <w:sz w:val="24"/>
          <w:szCs w:val="24"/>
          <w:rtl/>
        </w:rPr>
        <w:t xml:space="preserve"> לקבל רישיונות</w:t>
      </w:r>
      <w:r w:rsidR="003312F7">
        <w:rPr>
          <w:rFonts w:hint="cs"/>
          <w:sz w:val="24"/>
          <w:szCs w:val="24"/>
          <w:rtl/>
        </w:rPr>
        <w:t>,</w:t>
      </w:r>
      <w:r w:rsidR="00283684">
        <w:rPr>
          <w:rFonts w:hint="cs"/>
          <w:sz w:val="24"/>
          <w:szCs w:val="24"/>
          <w:rtl/>
        </w:rPr>
        <w:t xml:space="preserve"> יודיעו לרשות באיזה אופן בכוונתם לשדר שידורי חדשות כמתחייב </w:t>
      </w:r>
      <w:r w:rsidR="00E402B4">
        <w:rPr>
          <w:rFonts w:hint="cs"/>
          <w:sz w:val="24"/>
          <w:szCs w:val="24"/>
          <w:rtl/>
        </w:rPr>
        <w:t xml:space="preserve">בחוק מכל בעל </w:t>
      </w:r>
      <w:r w:rsidR="00283684">
        <w:rPr>
          <w:rFonts w:hint="cs"/>
          <w:sz w:val="24"/>
          <w:szCs w:val="24"/>
          <w:rtl/>
        </w:rPr>
        <w:t xml:space="preserve">רישיון וכן האם בכוונתם </w:t>
      </w:r>
      <w:r w:rsidR="003312F7">
        <w:rPr>
          <w:rFonts w:hint="cs"/>
          <w:sz w:val="24"/>
          <w:szCs w:val="24"/>
          <w:rtl/>
        </w:rPr>
        <w:t>לשדר שידורי חדשות</w:t>
      </w:r>
      <w:r w:rsidR="00283684">
        <w:rPr>
          <w:rFonts w:hint="cs"/>
          <w:sz w:val="24"/>
          <w:szCs w:val="24"/>
          <w:rtl/>
        </w:rPr>
        <w:t xml:space="preserve"> באמצעות רכישת חברת החדשות המשותפת של ערוץ 2. </w:t>
      </w:r>
      <w:r w:rsidRPr="009F6A2A">
        <w:rPr>
          <w:sz w:val="24"/>
          <w:szCs w:val="24"/>
          <w:rtl/>
        </w:rPr>
        <w:t xml:space="preserve"> </w:t>
      </w:r>
    </w:p>
    <w:p w:rsidR="00AF60E5" w:rsidRPr="00A67C98" w:rsidRDefault="00AF60E5" w:rsidP="00AC1E23">
      <w:pPr>
        <w:pStyle w:val="Hesber1st"/>
        <w:tabs>
          <w:tab w:val="clear" w:pos="680"/>
        </w:tabs>
        <w:rPr>
          <w:sz w:val="24"/>
          <w:szCs w:val="24"/>
          <w:rtl/>
        </w:rPr>
      </w:pPr>
    </w:p>
    <w:p w:rsidR="00AF60E5" w:rsidRPr="00CC2768" w:rsidRDefault="00AF60E5" w:rsidP="00AF60E5">
      <w:pPr>
        <w:pStyle w:val="Hesber1st"/>
        <w:tabs>
          <w:tab w:val="clear" w:pos="680"/>
        </w:tabs>
        <w:rPr>
          <w:b/>
          <w:bCs/>
          <w:sz w:val="24"/>
          <w:szCs w:val="24"/>
          <w:rtl/>
        </w:rPr>
      </w:pPr>
      <w:r w:rsidRPr="00CC2768">
        <w:rPr>
          <w:rFonts w:hint="cs"/>
          <w:b/>
          <w:bCs/>
          <w:sz w:val="24"/>
          <w:szCs w:val="24"/>
          <w:rtl/>
        </w:rPr>
        <w:t>לסעיף</w:t>
      </w:r>
      <w:r>
        <w:rPr>
          <w:rFonts w:hint="cs"/>
          <w:b/>
          <w:bCs/>
          <w:sz w:val="24"/>
          <w:szCs w:val="24"/>
          <w:rtl/>
        </w:rPr>
        <w:t xml:space="preserve"> ה</w:t>
      </w:r>
      <w:r w:rsidRPr="00CC2768">
        <w:rPr>
          <w:rFonts w:hint="cs"/>
          <w:b/>
          <w:bCs/>
          <w:sz w:val="24"/>
          <w:szCs w:val="24"/>
          <w:rtl/>
        </w:rPr>
        <w:t xml:space="preserve">-  </w:t>
      </w:r>
    </w:p>
    <w:p w:rsidR="00AF60E5" w:rsidRDefault="00F12F20" w:rsidP="00E402B4">
      <w:pPr>
        <w:pStyle w:val="Hesber1st"/>
        <w:tabs>
          <w:tab w:val="clear" w:pos="680"/>
        </w:tabs>
        <w:rPr>
          <w:sz w:val="24"/>
          <w:szCs w:val="24"/>
          <w:rtl/>
        </w:rPr>
      </w:pPr>
      <w:r>
        <w:rPr>
          <w:rFonts w:hint="cs"/>
          <w:sz w:val="24"/>
          <w:szCs w:val="24"/>
          <w:rtl/>
        </w:rPr>
        <w:t>בהתאם ל</w:t>
      </w:r>
      <w:r w:rsidR="000B2867">
        <w:rPr>
          <w:sz w:val="24"/>
          <w:szCs w:val="24"/>
          <w:rtl/>
        </w:rPr>
        <w:t>סעיפים קטנים (ז) עד (י)</w:t>
      </w:r>
      <w:r w:rsidR="000B2867">
        <w:rPr>
          <w:rFonts w:hint="cs"/>
          <w:sz w:val="24"/>
          <w:szCs w:val="24"/>
          <w:rtl/>
        </w:rPr>
        <w:t xml:space="preserve"> ש</w:t>
      </w:r>
      <w:r>
        <w:rPr>
          <w:rFonts w:hint="cs"/>
          <w:sz w:val="24"/>
          <w:szCs w:val="24"/>
          <w:rtl/>
        </w:rPr>
        <w:t xml:space="preserve">סעיף 71ד, </w:t>
      </w:r>
      <w:r w:rsidR="00984795" w:rsidRPr="009A3379">
        <w:rPr>
          <w:rFonts w:hint="cs"/>
          <w:sz w:val="24"/>
          <w:szCs w:val="24"/>
          <w:rtl/>
        </w:rPr>
        <w:t>ה</w:t>
      </w:r>
      <w:r w:rsidR="00793EB4" w:rsidRPr="009A3379">
        <w:rPr>
          <w:rFonts w:hint="cs"/>
          <w:sz w:val="24"/>
          <w:szCs w:val="24"/>
          <w:rtl/>
        </w:rPr>
        <w:t xml:space="preserve">עוסקים במנגנון פקיעת הזיכיון והמעבר לרישיון, על </w:t>
      </w:r>
      <w:r w:rsidR="00AF60E5" w:rsidRPr="009A3379">
        <w:rPr>
          <w:rFonts w:hint="cs"/>
          <w:sz w:val="24"/>
          <w:szCs w:val="24"/>
          <w:rtl/>
        </w:rPr>
        <w:t xml:space="preserve"> בעלי</w:t>
      </w:r>
      <w:r w:rsidR="00AF60E5">
        <w:rPr>
          <w:rFonts w:hint="cs"/>
          <w:sz w:val="24"/>
          <w:szCs w:val="24"/>
          <w:rtl/>
        </w:rPr>
        <w:t xml:space="preserve"> הזיכיונות להגיש בקשות לקבלת רישיונות לשידורי טלוויזיה. כמו כן, </w:t>
      </w:r>
      <w:r w:rsidR="00793EB4">
        <w:rPr>
          <w:rFonts w:hint="cs"/>
          <w:sz w:val="24"/>
          <w:szCs w:val="24"/>
          <w:rtl/>
        </w:rPr>
        <w:t>נקבע</w:t>
      </w:r>
      <w:r w:rsidR="00AF60E5">
        <w:rPr>
          <w:rFonts w:hint="cs"/>
          <w:sz w:val="24"/>
          <w:szCs w:val="24"/>
          <w:rtl/>
        </w:rPr>
        <w:t xml:space="preserve"> מנגנון </w:t>
      </w:r>
      <w:r w:rsidR="00793EB4">
        <w:rPr>
          <w:rFonts w:hint="cs"/>
          <w:sz w:val="24"/>
          <w:szCs w:val="24"/>
          <w:rtl/>
        </w:rPr>
        <w:t xml:space="preserve">מפורט הכולל לוחות זמנים </w:t>
      </w:r>
      <w:r w:rsidR="00AF60E5">
        <w:rPr>
          <w:rFonts w:hint="cs"/>
          <w:sz w:val="24"/>
          <w:szCs w:val="24"/>
          <w:rtl/>
        </w:rPr>
        <w:t xml:space="preserve">לבחינת בקשת בעלי הזיכיונות </w:t>
      </w:r>
      <w:r w:rsidR="00793EB4">
        <w:rPr>
          <w:rFonts w:hint="cs"/>
          <w:sz w:val="24"/>
          <w:szCs w:val="24"/>
          <w:rtl/>
        </w:rPr>
        <w:t xml:space="preserve">להקצאת אפיקים </w:t>
      </w:r>
      <w:r w:rsidR="00AF60E5">
        <w:rPr>
          <w:rFonts w:hint="cs"/>
          <w:sz w:val="24"/>
          <w:szCs w:val="24"/>
          <w:rtl/>
        </w:rPr>
        <w:t>ו</w:t>
      </w:r>
      <w:r w:rsidR="00793EB4">
        <w:rPr>
          <w:rFonts w:hint="cs"/>
          <w:sz w:val="24"/>
          <w:szCs w:val="24"/>
          <w:rtl/>
        </w:rPr>
        <w:t>ל</w:t>
      </w:r>
      <w:r w:rsidR="00AF60E5">
        <w:rPr>
          <w:rFonts w:hint="cs"/>
          <w:sz w:val="24"/>
          <w:szCs w:val="24"/>
          <w:rtl/>
        </w:rPr>
        <w:t xml:space="preserve">מתן הרישיונות. </w:t>
      </w:r>
      <w:r w:rsidR="00793EB4">
        <w:rPr>
          <w:rFonts w:hint="cs"/>
          <w:sz w:val="24"/>
          <w:szCs w:val="24"/>
          <w:rtl/>
        </w:rPr>
        <w:t>נוכח לוח הזמנים הקצר המוצע למעבר מזיכיונות לרישיונות</w:t>
      </w:r>
      <w:r w:rsidR="00984795">
        <w:rPr>
          <w:rFonts w:hint="cs"/>
          <w:sz w:val="24"/>
          <w:szCs w:val="24"/>
          <w:rtl/>
        </w:rPr>
        <w:t>,</w:t>
      </w:r>
      <w:r w:rsidR="00793EB4">
        <w:rPr>
          <w:rFonts w:hint="cs"/>
          <w:sz w:val="24"/>
          <w:szCs w:val="24"/>
          <w:rtl/>
        </w:rPr>
        <w:t xml:space="preserve"> מוצע </w:t>
      </w:r>
      <w:r w:rsidR="00984795">
        <w:rPr>
          <w:rFonts w:hint="cs"/>
          <w:sz w:val="24"/>
          <w:szCs w:val="24"/>
          <w:rtl/>
        </w:rPr>
        <w:t xml:space="preserve">לקבוע </w:t>
      </w:r>
      <w:r w:rsidR="00793EB4">
        <w:rPr>
          <w:rFonts w:hint="cs"/>
          <w:sz w:val="24"/>
          <w:szCs w:val="24"/>
          <w:rtl/>
        </w:rPr>
        <w:t xml:space="preserve">מנגנון קצר אשר </w:t>
      </w:r>
      <w:r w:rsidR="00440D5F">
        <w:rPr>
          <w:rFonts w:hint="cs"/>
          <w:sz w:val="24"/>
          <w:szCs w:val="24"/>
          <w:rtl/>
        </w:rPr>
        <w:t xml:space="preserve">ייתר את המנגנון המפורט בסעיפים קטנים אלו ולפיכך מוצע למחוק אותם. </w:t>
      </w:r>
      <w:r w:rsidR="00AF60E5">
        <w:rPr>
          <w:rFonts w:hint="cs"/>
          <w:sz w:val="24"/>
          <w:szCs w:val="24"/>
          <w:rtl/>
        </w:rPr>
        <w:t xml:space="preserve">בהתאם למוצע, </w:t>
      </w:r>
      <w:r w:rsidR="00440D5F">
        <w:rPr>
          <w:rFonts w:hint="cs"/>
          <w:sz w:val="24"/>
          <w:szCs w:val="24"/>
          <w:rtl/>
        </w:rPr>
        <w:t>תחת הגשת בקשה לרישיונות</w:t>
      </w:r>
      <w:r w:rsidR="00C35E50">
        <w:rPr>
          <w:rFonts w:hint="cs"/>
          <w:sz w:val="24"/>
          <w:szCs w:val="24"/>
          <w:rtl/>
        </w:rPr>
        <w:t>,</w:t>
      </w:r>
      <w:r w:rsidR="00440D5F">
        <w:rPr>
          <w:rFonts w:hint="cs"/>
          <w:sz w:val="24"/>
          <w:szCs w:val="24"/>
          <w:rtl/>
        </w:rPr>
        <w:t xml:space="preserve"> יידרשו בעלי הזיכיונות בערוץ 2 להודיע </w:t>
      </w:r>
      <w:r w:rsidR="00AF60E5" w:rsidRPr="00035F6F">
        <w:rPr>
          <w:sz w:val="24"/>
          <w:szCs w:val="24"/>
          <w:rtl/>
        </w:rPr>
        <w:t>בתוך 14 ימים מיום כניסת החוק לתוקף</w:t>
      </w:r>
      <w:r w:rsidR="00AF60E5">
        <w:rPr>
          <w:rFonts w:hint="cs"/>
          <w:sz w:val="24"/>
          <w:szCs w:val="24"/>
          <w:rtl/>
        </w:rPr>
        <w:t xml:space="preserve"> </w:t>
      </w:r>
      <w:r w:rsidR="00440D5F">
        <w:rPr>
          <w:rFonts w:hint="cs"/>
          <w:sz w:val="24"/>
          <w:szCs w:val="24"/>
          <w:rtl/>
        </w:rPr>
        <w:t xml:space="preserve">האם ברצונם לקבל רישיונות ובאיזה אפיק </w:t>
      </w:r>
      <w:r w:rsidR="00E402B4">
        <w:rPr>
          <w:rFonts w:hint="cs"/>
          <w:sz w:val="24"/>
          <w:szCs w:val="24"/>
          <w:rtl/>
        </w:rPr>
        <w:t xml:space="preserve">מבין האפיקים שהוחלט כי יועדו לכך, </w:t>
      </w:r>
      <w:r w:rsidR="00440D5F">
        <w:rPr>
          <w:rFonts w:hint="cs"/>
          <w:sz w:val="24"/>
          <w:szCs w:val="24"/>
          <w:rtl/>
        </w:rPr>
        <w:t xml:space="preserve">ברצונם לעשות שימוש </w:t>
      </w:r>
      <w:r w:rsidR="00440D5F" w:rsidRPr="00440D5F">
        <w:rPr>
          <w:sz w:val="24"/>
          <w:szCs w:val="24"/>
          <w:rtl/>
        </w:rPr>
        <w:t>ובכפוף לעמידתם בתנאים הקבועים בחוק</w:t>
      </w:r>
      <w:r w:rsidR="00440D5F">
        <w:rPr>
          <w:rFonts w:hint="cs"/>
          <w:sz w:val="24"/>
          <w:szCs w:val="24"/>
          <w:rtl/>
        </w:rPr>
        <w:t xml:space="preserve">, </w:t>
      </w:r>
      <w:r w:rsidR="00AF60E5">
        <w:rPr>
          <w:rFonts w:hint="cs"/>
          <w:sz w:val="24"/>
          <w:szCs w:val="24"/>
          <w:rtl/>
        </w:rPr>
        <w:t>יוענקו להם רישיונות</w:t>
      </w:r>
      <w:r w:rsidR="00440D5F">
        <w:rPr>
          <w:rFonts w:hint="cs"/>
          <w:sz w:val="24"/>
          <w:szCs w:val="24"/>
          <w:rtl/>
        </w:rPr>
        <w:t xml:space="preserve"> ויוקצו להם אפיקים</w:t>
      </w:r>
      <w:r w:rsidR="00AF60E5">
        <w:rPr>
          <w:rFonts w:hint="cs"/>
          <w:sz w:val="24"/>
          <w:szCs w:val="24"/>
          <w:rtl/>
        </w:rPr>
        <w:t xml:space="preserve">. </w:t>
      </w:r>
    </w:p>
    <w:p w:rsidR="009107C2" w:rsidRDefault="009107C2" w:rsidP="00B31062">
      <w:pPr>
        <w:pStyle w:val="Hesber1st"/>
        <w:tabs>
          <w:tab w:val="clear" w:pos="680"/>
        </w:tabs>
        <w:rPr>
          <w:b/>
          <w:bCs/>
          <w:sz w:val="24"/>
          <w:szCs w:val="24"/>
          <w:rtl/>
        </w:rPr>
      </w:pPr>
    </w:p>
    <w:p w:rsidR="00AF60E5" w:rsidRPr="00CC2768" w:rsidRDefault="00AF60E5" w:rsidP="00B31062">
      <w:pPr>
        <w:pStyle w:val="Hesber1st"/>
        <w:tabs>
          <w:tab w:val="clear" w:pos="680"/>
        </w:tabs>
        <w:rPr>
          <w:b/>
          <w:bCs/>
          <w:sz w:val="24"/>
          <w:szCs w:val="24"/>
          <w:rtl/>
        </w:rPr>
      </w:pPr>
      <w:r w:rsidRPr="00CC2768">
        <w:rPr>
          <w:rFonts w:hint="cs"/>
          <w:b/>
          <w:bCs/>
          <w:sz w:val="24"/>
          <w:szCs w:val="24"/>
          <w:rtl/>
        </w:rPr>
        <w:t xml:space="preserve">לסעיף </w:t>
      </w:r>
      <w:r>
        <w:rPr>
          <w:rFonts w:hint="cs"/>
          <w:b/>
          <w:bCs/>
          <w:sz w:val="24"/>
          <w:szCs w:val="24"/>
          <w:rtl/>
        </w:rPr>
        <w:t>ו</w:t>
      </w:r>
      <w:r w:rsidRPr="00CC2768">
        <w:rPr>
          <w:rFonts w:hint="cs"/>
          <w:b/>
          <w:bCs/>
          <w:sz w:val="24"/>
          <w:szCs w:val="24"/>
          <w:rtl/>
        </w:rPr>
        <w:t xml:space="preserve"> </w:t>
      </w:r>
      <w:r w:rsidR="00B31062" w:rsidRPr="00B31062">
        <w:rPr>
          <w:rFonts w:hint="cs"/>
          <w:b/>
          <w:bCs/>
          <w:sz w:val="24"/>
          <w:szCs w:val="24"/>
          <w:rtl/>
        </w:rPr>
        <w:t>-</w:t>
      </w:r>
      <w:r w:rsidR="00B31062">
        <w:rPr>
          <w:rFonts w:hint="cs"/>
          <w:sz w:val="24"/>
          <w:szCs w:val="24"/>
          <w:rtl/>
        </w:rPr>
        <w:t xml:space="preserve"> </w:t>
      </w:r>
      <w:r w:rsidRPr="00CC2768">
        <w:rPr>
          <w:rFonts w:hint="cs"/>
          <w:b/>
          <w:bCs/>
          <w:sz w:val="24"/>
          <w:szCs w:val="24"/>
          <w:rtl/>
        </w:rPr>
        <w:t xml:space="preserve"> </w:t>
      </w:r>
    </w:p>
    <w:p w:rsidR="00AF60E5" w:rsidRDefault="00AF60E5" w:rsidP="00F12F20">
      <w:pPr>
        <w:pStyle w:val="Hesber1st"/>
        <w:tabs>
          <w:tab w:val="clear" w:pos="680"/>
        </w:tabs>
        <w:rPr>
          <w:sz w:val="24"/>
          <w:szCs w:val="24"/>
          <w:rtl/>
        </w:rPr>
      </w:pPr>
      <w:r>
        <w:rPr>
          <w:rFonts w:hint="cs"/>
          <w:sz w:val="24"/>
          <w:szCs w:val="24"/>
          <w:rtl/>
        </w:rPr>
        <w:t xml:space="preserve">מוצע לתקן את סעיף </w:t>
      </w:r>
      <w:r w:rsidR="00F12F20">
        <w:rPr>
          <w:rFonts w:hint="cs"/>
          <w:sz w:val="24"/>
          <w:szCs w:val="24"/>
          <w:rtl/>
        </w:rPr>
        <w:t>71ד</w:t>
      </w:r>
      <w:r w:rsidR="009107C2">
        <w:rPr>
          <w:rFonts w:hint="cs"/>
          <w:sz w:val="24"/>
          <w:szCs w:val="24"/>
          <w:rtl/>
        </w:rPr>
        <w:t xml:space="preserve"> (יא) באופן בו</w:t>
      </w:r>
      <w:r>
        <w:rPr>
          <w:rFonts w:hint="cs"/>
          <w:sz w:val="24"/>
          <w:szCs w:val="24"/>
          <w:rtl/>
        </w:rPr>
        <w:t xml:space="preserve"> אם רק בעל זיכיון אחד </w:t>
      </w:r>
      <w:r w:rsidR="00F805E0">
        <w:rPr>
          <w:rFonts w:hint="cs"/>
          <w:sz w:val="24"/>
          <w:szCs w:val="24"/>
          <w:rtl/>
        </w:rPr>
        <w:t xml:space="preserve">יודיע על רצונו לקבל  </w:t>
      </w:r>
      <w:r>
        <w:rPr>
          <w:rFonts w:hint="cs"/>
          <w:sz w:val="24"/>
          <w:szCs w:val="24"/>
          <w:rtl/>
        </w:rPr>
        <w:t xml:space="preserve">רישיון, תינתן לו האפשרות לרכוש את חברת החדשות של ערוץ 2 בתמורה לתשלום לבעל הזיכיון האחר בעד חלקו במניות הרכוש של החברה. עוד מוצע, כי אם </w:t>
      </w:r>
      <w:r w:rsidR="00F805E0">
        <w:rPr>
          <w:rFonts w:hint="cs"/>
          <w:sz w:val="24"/>
          <w:szCs w:val="24"/>
          <w:rtl/>
        </w:rPr>
        <w:t>יודיעו</w:t>
      </w:r>
      <w:r>
        <w:rPr>
          <w:rFonts w:hint="cs"/>
          <w:sz w:val="24"/>
          <w:szCs w:val="24"/>
          <w:rtl/>
        </w:rPr>
        <w:t xml:space="preserve"> שני בעלי הזיכיון </w:t>
      </w:r>
      <w:r w:rsidR="00920F19">
        <w:rPr>
          <w:rFonts w:hint="cs"/>
          <w:sz w:val="24"/>
          <w:szCs w:val="24"/>
          <w:rtl/>
        </w:rPr>
        <w:t xml:space="preserve">על רצונם לקבל רישיון </w:t>
      </w:r>
      <w:r w:rsidR="00F805E0">
        <w:rPr>
          <w:rFonts w:hint="cs"/>
          <w:sz w:val="24"/>
          <w:szCs w:val="24"/>
          <w:rtl/>
        </w:rPr>
        <w:t>ולא הגיעו להסכמה בניהם לגבי רכישה האחד את חלקו של השני בחבר</w:t>
      </w:r>
      <w:r w:rsidR="009A3379">
        <w:rPr>
          <w:rFonts w:hint="cs"/>
          <w:sz w:val="24"/>
          <w:szCs w:val="24"/>
          <w:rtl/>
        </w:rPr>
        <w:t>ת</w:t>
      </w:r>
      <w:r w:rsidR="00F805E0">
        <w:rPr>
          <w:rFonts w:hint="cs"/>
          <w:sz w:val="24"/>
          <w:szCs w:val="24"/>
          <w:rtl/>
        </w:rPr>
        <w:t xml:space="preserve"> החדשות</w:t>
      </w:r>
      <w:r w:rsidR="009107C2">
        <w:rPr>
          <w:rFonts w:hint="cs"/>
          <w:sz w:val="24"/>
          <w:szCs w:val="24"/>
          <w:rtl/>
        </w:rPr>
        <w:t>,</w:t>
      </w:r>
      <w:r w:rsidR="00F805E0">
        <w:rPr>
          <w:rFonts w:hint="cs"/>
          <w:sz w:val="24"/>
          <w:szCs w:val="24"/>
          <w:rtl/>
        </w:rPr>
        <w:t xml:space="preserve"> תתבצע </w:t>
      </w:r>
      <w:r>
        <w:rPr>
          <w:rFonts w:hint="cs"/>
          <w:sz w:val="24"/>
          <w:szCs w:val="24"/>
          <w:rtl/>
        </w:rPr>
        <w:t>בניהם התמחרות ב</w:t>
      </w:r>
      <w:r w:rsidR="00A969C1">
        <w:rPr>
          <w:rFonts w:hint="cs"/>
          <w:sz w:val="24"/>
          <w:szCs w:val="24"/>
          <w:rtl/>
        </w:rPr>
        <w:t xml:space="preserve">אמצעות מכרז שתפרסם הרשות השנייה. כמו </w:t>
      </w:r>
      <w:r>
        <w:rPr>
          <w:rFonts w:hint="cs"/>
          <w:sz w:val="24"/>
          <w:szCs w:val="24"/>
          <w:rtl/>
        </w:rPr>
        <w:t>כן</w:t>
      </w:r>
      <w:r w:rsidR="00A969C1">
        <w:rPr>
          <w:rFonts w:hint="cs"/>
          <w:sz w:val="24"/>
          <w:szCs w:val="24"/>
          <w:rtl/>
        </w:rPr>
        <w:t>,</w:t>
      </w:r>
      <w:r>
        <w:rPr>
          <w:rFonts w:hint="cs"/>
          <w:sz w:val="24"/>
          <w:szCs w:val="24"/>
          <w:rtl/>
        </w:rPr>
        <w:t xml:space="preserve"> </w:t>
      </w:r>
      <w:r w:rsidR="00A969C1">
        <w:rPr>
          <w:rFonts w:hint="cs"/>
          <w:sz w:val="24"/>
          <w:szCs w:val="24"/>
          <w:rtl/>
        </w:rPr>
        <w:t>בעל זיכיון המעוניין בקבלת רישיון שלא</w:t>
      </w:r>
      <w:r>
        <w:rPr>
          <w:rFonts w:hint="cs"/>
          <w:sz w:val="24"/>
          <w:szCs w:val="24"/>
          <w:rtl/>
        </w:rPr>
        <w:t xml:space="preserve"> יזכה במכרז </w:t>
      </w:r>
      <w:r w:rsidR="00A969C1">
        <w:rPr>
          <w:rFonts w:hint="cs"/>
          <w:sz w:val="24"/>
          <w:szCs w:val="24"/>
          <w:rtl/>
        </w:rPr>
        <w:t>כאמור</w:t>
      </w:r>
      <w:r w:rsidR="00B9679E">
        <w:rPr>
          <w:rFonts w:hint="cs"/>
          <w:sz w:val="24"/>
          <w:szCs w:val="24"/>
          <w:rtl/>
        </w:rPr>
        <w:t>,</w:t>
      </w:r>
      <w:r w:rsidR="00A969C1">
        <w:rPr>
          <w:rFonts w:hint="cs"/>
          <w:sz w:val="24"/>
          <w:szCs w:val="24"/>
          <w:rtl/>
        </w:rPr>
        <w:t xml:space="preserve"> יוכל </w:t>
      </w:r>
      <w:r w:rsidR="00B9679E">
        <w:rPr>
          <w:rFonts w:hint="cs"/>
          <w:sz w:val="24"/>
          <w:szCs w:val="24"/>
          <w:rtl/>
        </w:rPr>
        <w:t xml:space="preserve">לקיים שידורי חדשות במסגרת שידוריו באמצעות חברת חדשות שיוענק לה רישיון בהתאם להוראות החוק. </w:t>
      </w:r>
    </w:p>
    <w:p w:rsidR="009107C2" w:rsidRDefault="009107C2" w:rsidP="00AF60E5">
      <w:pPr>
        <w:pStyle w:val="Hesber1st"/>
        <w:tabs>
          <w:tab w:val="clear" w:pos="680"/>
        </w:tabs>
        <w:rPr>
          <w:b/>
          <w:bCs/>
          <w:sz w:val="24"/>
          <w:szCs w:val="24"/>
          <w:rtl/>
        </w:rPr>
      </w:pPr>
    </w:p>
    <w:p w:rsidR="00AF60E5" w:rsidRPr="00CC2768" w:rsidRDefault="00AF60E5" w:rsidP="00AF60E5">
      <w:pPr>
        <w:pStyle w:val="Hesber1st"/>
        <w:tabs>
          <w:tab w:val="clear" w:pos="680"/>
        </w:tabs>
        <w:rPr>
          <w:b/>
          <w:bCs/>
          <w:sz w:val="24"/>
          <w:szCs w:val="24"/>
          <w:rtl/>
        </w:rPr>
      </w:pPr>
      <w:r w:rsidRPr="00CC2768">
        <w:rPr>
          <w:rFonts w:hint="cs"/>
          <w:b/>
          <w:bCs/>
          <w:sz w:val="24"/>
          <w:szCs w:val="24"/>
          <w:rtl/>
        </w:rPr>
        <w:t xml:space="preserve">לסעיף </w:t>
      </w:r>
      <w:r>
        <w:rPr>
          <w:rFonts w:hint="cs"/>
          <w:b/>
          <w:bCs/>
          <w:sz w:val="24"/>
          <w:szCs w:val="24"/>
          <w:rtl/>
        </w:rPr>
        <w:t>ז</w:t>
      </w:r>
      <w:r w:rsidRPr="00CC2768">
        <w:rPr>
          <w:rFonts w:hint="cs"/>
          <w:b/>
          <w:bCs/>
          <w:sz w:val="24"/>
          <w:szCs w:val="24"/>
          <w:rtl/>
        </w:rPr>
        <w:t xml:space="preserve"> - </w:t>
      </w:r>
    </w:p>
    <w:p w:rsidR="00AF60E5" w:rsidRDefault="00AF60E5" w:rsidP="00424252">
      <w:pPr>
        <w:pStyle w:val="Hesber1st"/>
        <w:tabs>
          <w:tab w:val="clear" w:pos="680"/>
        </w:tabs>
        <w:rPr>
          <w:sz w:val="24"/>
          <w:szCs w:val="24"/>
          <w:rtl/>
        </w:rPr>
      </w:pPr>
      <w:r>
        <w:rPr>
          <w:rFonts w:hint="cs"/>
          <w:sz w:val="24"/>
          <w:szCs w:val="24"/>
          <w:rtl/>
        </w:rPr>
        <w:t xml:space="preserve">מוצע למחוק </w:t>
      </w:r>
      <w:r w:rsidR="00424252" w:rsidRPr="00424252">
        <w:rPr>
          <w:sz w:val="24"/>
          <w:szCs w:val="24"/>
          <w:rtl/>
        </w:rPr>
        <w:t>את סעיפים קטנים (</w:t>
      </w:r>
      <w:proofErr w:type="spellStart"/>
      <w:r w:rsidR="00424252" w:rsidRPr="00424252">
        <w:rPr>
          <w:sz w:val="24"/>
          <w:szCs w:val="24"/>
          <w:rtl/>
        </w:rPr>
        <w:t>יב</w:t>
      </w:r>
      <w:proofErr w:type="spellEnd"/>
      <w:r w:rsidR="00424252" w:rsidRPr="00424252">
        <w:rPr>
          <w:sz w:val="24"/>
          <w:szCs w:val="24"/>
          <w:rtl/>
        </w:rPr>
        <w:t>) ו-(</w:t>
      </w:r>
      <w:proofErr w:type="spellStart"/>
      <w:r w:rsidR="00424252" w:rsidRPr="00424252">
        <w:rPr>
          <w:sz w:val="24"/>
          <w:szCs w:val="24"/>
          <w:rtl/>
        </w:rPr>
        <w:t>יג</w:t>
      </w:r>
      <w:proofErr w:type="spellEnd"/>
      <w:r w:rsidR="00424252" w:rsidRPr="00424252">
        <w:rPr>
          <w:sz w:val="24"/>
          <w:szCs w:val="24"/>
          <w:rtl/>
        </w:rPr>
        <w:t xml:space="preserve">) </w:t>
      </w:r>
      <w:r w:rsidR="00660B4F">
        <w:rPr>
          <w:rFonts w:hint="cs"/>
          <w:sz w:val="24"/>
          <w:szCs w:val="24"/>
          <w:rtl/>
        </w:rPr>
        <w:t>בסעיף 71ד לחוק</w:t>
      </w:r>
      <w:r w:rsidR="00424252">
        <w:rPr>
          <w:rFonts w:hint="cs"/>
          <w:sz w:val="24"/>
          <w:szCs w:val="24"/>
          <w:rtl/>
        </w:rPr>
        <w:t>,</w:t>
      </w:r>
      <w:r w:rsidR="00660B4F">
        <w:rPr>
          <w:rFonts w:hint="cs"/>
          <w:sz w:val="24"/>
          <w:szCs w:val="24"/>
          <w:rtl/>
        </w:rPr>
        <w:t xml:space="preserve"> </w:t>
      </w:r>
      <w:r>
        <w:rPr>
          <w:rFonts w:hint="cs"/>
          <w:sz w:val="24"/>
          <w:szCs w:val="24"/>
          <w:rtl/>
        </w:rPr>
        <w:t xml:space="preserve">העוסקים באפשרות בעלי הזיכיון לרכישה משותפת של חברת החדשות לתקופת מעבר של שלוש שנים ולחייב את בעלי הזיכיונות בשידור חדשות נפרד, כנדרש מכל בעל רישיון. </w:t>
      </w:r>
    </w:p>
    <w:p w:rsidR="009107C2" w:rsidRDefault="009107C2" w:rsidP="00B31062">
      <w:pPr>
        <w:pStyle w:val="Hesber1st"/>
        <w:tabs>
          <w:tab w:val="clear" w:pos="680"/>
        </w:tabs>
        <w:rPr>
          <w:b/>
          <w:bCs/>
          <w:sz w:val="24"/>
          <w:szCs w:val="24"/>
          <w:rtl/>
        </w:rPr>
      </w:pPr>
    </w:p>
    <w:p w:rsidR="00AF60E5" w:rsidRPr="00CC2768" w:rsidRDefault="00AF60E5" w:rsidP="00B31062">
      <w:pPr>
        <w:pStyle w:val="Hesber1st"/>
        <w:tabs>
          <w:tab w:val="clear" w:pos="680"/>
        </w:tabs>
        <w:rPr>
          <w:b/>
          <w:bCs/>
          <w:sz w:val="24"/>
          <w:szCs w:val="24"/>
          <w:rtl/>
        </w:rPr>
      </w:pPr>
      <w:r w:rsidRPr="00CC2768">
        <w:rPr>
          <w:rFonts w:hint="cs"/>
          <w:b/>
          <w:bCs/>
          <w:sz w:val="24"/>
          <w:szCs w:val="24"/>
          <w:rtl/>
        </w:rPr>
        <w:t xml:space="preserve">לסעיף </w:t>
      </w:r>
      <w:r w:rsidR="00AC1E23">
        <w:rPr>
          <w:rFonts w:hint="cs"/>
          <w:b/>
          <w:bCs/>
          <w:sz w:val="24"/>
          <w:szCs w:val="24"/>
          <w:rtl/>
        </w:rPr>
        <w:t>ח</w:t>
      </w:r>
      <w:r w:rsidRPr="00CC2768">
        <w:rPr>
          <w:rFonts w:hint="cs"/>
          <w:b/>
          <w:bCs/>
          <w:sz w:val="24"/>
          <w:szCs w:val="24"/>
          <w:rtl/>
        </w:rPr>
        <w:t xml:space="preserve"> </w:t>
      </w:r>
      <w:r w:rsidR="00B31062" w:rsidRPr="00B31062">
        <w:rPr>
          <w:rFonts w:hint="cs"/>
          <w:b/>
          <w:bCs/>
          <w:sz w:val="24"/>
          <w:szCs w:val="24"/>
          <w:rtl/>
        </w:rPr>
        <w:t>-</w:t>
      </w:r>
      <w:r w:rsidR="00B31062">
        <w:rPr>
          <w:rFonts w:hint="cs"/>
          <w:sz w:val="24"/>
          <w:szCs w:val="24"/>
          <w:rtl/>
        </w:rPr>
        <w:t xml:space="preserve"> </w:t>
      </w:r>
      <w:r w:rsidRPr="00CC2768">
        <w:rPr>
          <w:rFonts w:hint="cs"/>
          <w:b/>
          <w:bCs/>
          <w:sz w:val="24"/>
          <w:szCs w:val="24"/>
          <w:rtl/>
        </w:rPr>
        <w:t xml:space="preserve"> </w:t>
      </w:r>
    </w:p>
    <w:p w:rsidR="00573F82" w:rsidRPr="00573F82" w:rsidRDefault="00AF60E5" w:rsidP="009107C2">
      <w:pPr>
        <w:pStyle w:val="Hesber1st"/>
        <w:rPr>
          <w:sz w:val="24"/>
          <w:szCs w:val="24"/>
          <w:rtl/>
        </w:rPr>
      </w:pPr>
      <w:r>
        <w:rPr>
          <w:rFonts w:hint="cs"/>
          <w:sz w:val="24"/>
          <w:szCs w:val="24"/>
          <w:rtl/>
        </w:rPr>
        <w:t>מוצע ל</w:t>
      </w:r>
      <w:r w:rsidR="009107C2">
        <w:rPr>
          <w:rFonts w:hint="cs"/>
          <w:sz w:val="24"/>
          <w:szCs w:val="24"/>
          <w:rtl/>
        </w:rPr>
        <w:t>הוסיף את סעיפים (טו) ו-(</w:t>
      </w:r>
      <w:proofErr w:type="spellStart"/>
      <w:r w:rsidR="009107C2">
        <w:rPr>
          <w:rFonts w:hint="cs"/>
          <w:sz w:val="24"/>
          <w:szCs w:val="24"/>
          <w:rtl/>
        </w:rPr>
        <w:t>טז</w:t>
      </w:r>
      <w:proofErr w:type="spellEnd"/>
      <w:r w:rsidR="009107C2">
        <w:rPr>
          <w:rFonts w:hint="cs"/>
          <w:sz w:val="24"/>
          <w:szCs w:val="24"/>
          <w:rtl/>
        </w:rPr>
        <w:t>):  בסעיף (טו) מוצע ל</w:t>
      </w:r>
      <w:r>
        <w:rPr>
          <w:rFonts w:hint="cs"/>
          <w:sz w:val="24"/>
          <w:szCs w:val="24"/>
          <w:rtl/>
        </w:rPr>
        <w:t xml:space="preserve">קבוע כי המועד להעברת הבעלות בחברת החדשות </w:t>
      </w:r>
      <w:r w:rsidR="00AC1E23">
        <w:rPr>
          <w:rFonts w:hint="cs"/>
          <w:sz w:val="24"/>
          <w:szCs w:val="24"/>
          <w:rtl/>
        </w:rPr>
        <w:t>של ערוץ 2</w:t>
      </w:r>
      <w:r w:rsidR="009107C2">
        <w:rPr>
          <w:rFonts w:hint="cs"/>
          <w:sz w:val="24"/>
          <w:szCs w:val="24"/>
          <w:rtl/>
        </w:rPr>
        <w:t>,</w:t>
      </w:r>
      <w:r w:rsidR="00AC1E23">
        <w:rPr>
          <w:rFonts w:hint="cs"/>
          <w:sz w:val="24"/>
          <w:szCs w:val="24"/>
          <w:rtl/>
        </w:rPr>
        <w:t xml:space="preserve"> </w:t>
      </w:r>
      <w:r w:rsidR="002D586B">
        <w:rPr>
          <w:rFonts w:hint="cs"/>
          <w:sz w:val="24"/>
          <w:szCs w:val="24"/>
          <w:rtl/>
        </w:rPr>
        <w:t xml:space="preserve">ככל </w:t>
      </w:r>
      <w:r w:rsidR="00AC1E23">
        <w:rPr>
          <w:rFonts w:hint="cs"/>
          <w:sz w:val="24"/>
          <w:szCs w:val="24"/>
          <w:rtl/>
        </w:rPr>
        <w:t>שתועבר לבעלות אחד מבעלי הזיכיונות</w:t>
      </w:r>
      <w:r w:rsidR="009107C2">
        <w:rPr>
          <w:rFonts w:hint="cs"/>
          <w:sz w:val="24"/>
          <w:szCs w:val="24"/>
          <w:rtl/>
        </w:rPr>
        <w:t>,</w:t>
      </w:r>
      <w:r w:rsidR="00AC1E23">
        <w:rPr>
          <w:rFonts w:hint="cs"/>
          <w:sz w:val="24"/>
          <w:szCs w:val="24"/>
          <w:rtl/>
        </w:rPr>
        <w:t xml:space="preserve"> תהיה</w:t>
      </w:r>
      <w:r>
        <w:rPr>
          <w:rFonts w:hint="cs"/>
          <w:sz w:val="24"/>
          <w:szCs w:val="24"/>
          <w:rtl/>
        </w:rPr>
        <w:t xml:space="preserve"> ביום כניסת </w:t>
      </w:r>
      <w:r w:rsidR="00AC1E23">
        <w:rPr>
          <w:rFonts w:hint="cs"/>
          <w:sz w:val="24"/>
          <w:szCs w:val="24"/>
          <w:rtl/>
        </w:rPr>
        <w:t>הרישיון</w:t>
      </w:r>
      <w:r w:rsidR="00573F82">
        <w:rPr>
          <w:rFonts w:hint="cs"/>
          <w:sz w:val="24"/>
          <w:szCs w:val="24"/>
          <w:rtl/>
        </w:rPr>
        <w:t xml:space="preserve"> לתוקף וכי </w:t>
      </w:r>
      <w:r w:rsidR="00573F82" w:rsidRPr="00573F82">
        <w:rPr>
          <w:sz w:val="24"/>
          <w:szCs w:val="24"/>
          <w:rtl/>
        </w:rPr>
        <w:t xml:space="preserve">הרשות תעניק לחברת החדשות </w:t>
      </w:r>
      <w:r w:rsidR="00AC1E23">
        <w:rPr>
          <w:rFonts w:hint="cs"/>
          <w:sz w:val="24"/>
          <w:szCs w:val="24"/>
          <w:rtl/>
        </w:rPr>
        <w:t>כאמור רישיון חדש</w:t>
      </w:r>
      <w:r w:rsidR="00573F82" w:rsidRPr="00573F82">
        <w:rPr>
          <w:sz w:val="24"/>
          <w:szCs w:val="24"/>
          <w:rtl/>
        </w:rPr>
        <w:t xml:space="preserve"> בהתאם להוראות החוק בעניין זה.</w:t>
      </w:r>
    </w:p>
    <w:p w:rsidR="00AF60E5" w:rsidRDefault="00573F82" w:rsidP="00573F82">
      <w:pPr>
        <w:pStyle w:val="Hesber1st"/>
        <w:tabs>
          <w:tab w:val="clear" w:pos="680"/>
        </w:tabs>
        <w:rPr>
          <w:sz w:val="24"/>
          <w:szCs w:val="24"/>
          <w:rtl/>
        </w:rPr>
      </w:pPr>
      <w:r w:rsidRPr="00573F82">
        <w:rPr>
          <w:sz w:val="24"/>
          <w:szCs w:val="24"/>
          <w:rtl/>
        </w:rPr>
        <w:t xml:space="preserve">סעיף 63א(ה) לחוק מאפשר לבעל רישיון חדש שלא היה בעל זיכיון או גורם הקשור אליו, שלא לשדר שידורי חדשות בשנתיים הראשונות לתוקפו של הרישיון. הוראה זו נועדה להקל על בעלי רישיונות חדשים. מוצע להבהיר </w:t>
      </w:r>
      <w:r w:rsidRPr="00573F82">
        <w:rPr>
          <w:sz w:val="24"/>
          <w:szCs w:val="24"/>
          <w:rtl/>
        </w:rPr>
        <w:lastRenderedPageBreak/>
        <w:t>כי הוראה זו לא תחול במקרה של מעבר בעל זיכיון בערוץ 2 לרישיון.</w:t>
      </w:r>
    </w:p>
    <w:p w:rsidR="009107C2" w:rsidRDefault="009107C2" w:rsidP="00A376C7">
      <w:pPr>
        <w:pStyle w:val="Hesber1st"/>
        <w:tabs>
          <w:tab w:val="clear" w:pos="680"/>
        </w:tabs>
        <w:rPr>
          <w:sz w:val="24"/>
          <w:szCs w:val="24"/>
          <w:rtl/>
        </w:rPr>
      </w:pPr>
      <w:r>
        <w:rPr>
          <w:rFonts w:hint="cs"/>
          <w:sz w:val="24"/>
          <w:szCs w:val="24"/>
          <w:rtl/>
        </w:rPr>
        <w:t>בסעיף (</w:t>
      </w:r>
      <w:proofErr w:type="spellStart"/>
      <w:r>
        <w:rPr>
          <w:rFonts w:hint="cs"/>
          <w:sz w:val="24"/>
          <w:szCs w:val="24"/>
          <w:rtl/>
        </w:rPr>
        <w:t>טז</w:t>
      </w:r>
      <w:proofErr w:type="spellEnd"/>
      <w:r>
        <w:rPr>
          <w:rFonts w:hint="cs"/>
          <w:sz w:val="24"/>
          <w:szCs w:val="24"/>
          <w:rtl/>
        </w:rPr>
        <w:t xml:space="preserve">) מוצע לקבוע כי </w:t>
      </w:r>
      <w:r>
        <w:rPr>
          <w:sz w:val="24"/>
          <w:szCs w:val="24"/>
          <w:rtl/>
        </w:rPr>
        <w:t xml:space="preserve">בעל </w:t>
      </w:r>
      <w:r w:rsidRPr="009107C2">
        <w:rPr>
          <w:sz w:val="24"/>
          <w:szCs w:val="24"/>
          <w:rtl/>
        </w:rPr>
        <w:t xml:space="preserve">זיכיון </w:t>
      </w:r>
      <w:r>
        <w:rPr>
          <w:rFonts w:hint="cs"/>
          <w:sz w:val="24"/>
          <w:szCs w:val="24"/>
          <w:rtl/>
        </w:rPr>
        <w:t xml:space="preserve">שהודיע כי </w:t>
      </w:r>
      <w:r w:rsidRPr="009107C2">
        <w:rPr>
          <w:sz w:val="24"/>
          <w:szCs w:val="24"/>
          <w:rtl/>
        </w:rPr>
        <w:t>ברצונו לקבל רישיון בהתאם לסעיף (ו1) המוצע</w:t>
      </w:r>
      <w:r>
        <w:rPr>
          <w:rFonts w:hint="cs"/>
          <w:sz w:val="24"/>
          <w:szCs w:val="24"/>
          <w:rtl/>
        </w:rPr>
        <w:t xml:space="preserve">, </w:t>
      </w:r>
      <w:r w:rsidRPr="009107C2">
        <w:rPr>
          <w:sz w:val="24"/>
          <w:szCs w:val="24"/>
          <w:rtl/>
        </w:rPr>
        <w:t xml:space="preserve">יחויב להגיש בתוך שנה ממועד הודעתו </w:t>
      </w:r>
      <w:r>
        <w:rPr>
          <w:rFonts w:hint="cs"/>
          <w:sz w:val="24"/>
          <w:szCs w:val="24"/>
          <w:rtl/>
        </w:rPr>
        <w:t xml:space="preserve">כאמור, </w:t>
      </w:r>
      <w:r>
        <w:rPr>
          <w:sz w:val="24"/>
          <w:szCs w:val="24"/>
          <w:rtl/>
        </w:rPr>
        <w:t xml:space="preserve">תכנית מפורטת להשלמת </w:t>
      </w:r>
      <w:r w:rsidRPr="009107C2">
        <w:rPr>
          <w:sz w:val="24"/>
          <w:szCs w:val="24"/>
          <w:rtl/>
        </w:rPr>
        <w:t xml:space="preserve">מחויבות תוכן שנוצרו לאחר מועד תחילתו של תיקון 37 לחוק ועד לקבלת הרישיון </w:t>
      </w:r>
      <w:r w:rsidR="00A376C7">
        <w:rPr>
          <w:rFonts w:hint="cs"/>
          <w:sz w:val="24"/>
          <w:szCs w:val="24"/>
          <w:rtl/>
        </w:rPr>
        <w:t xml:space="preserve">אשר </w:t>
      </w:r>
      <w:r>
        <w:rPr>
          <w:rFonts w:hint="cs"/>
          <w:sz w:val="24"/>
          <w:szCs w:val="24"/>
          <w:rtl/>
        </w:rPr>
        <w:t xml:space="preserve">נובעות </w:t>
      </w:r>
      <w:r w:rsidRPr="009107C2">
        <w:rPr>
          <w:sz w:val="24"/>
          <w:szCs w:val="24"/>
          <w:rtl/>
        </w:rPr>
        <w:t>מהפרש הכנסה</w:t>
      </w:r>
      <w:r>
        <w:rPr>
          <w:rFonts w:hint="cs"/>
          <w:sz w:val="24"/>
          <w:szCs w:val="24"/>
          <w:rtl/>
        </w:rPr>
        <w:t>,</w:t>
      </w:r>
      <w:r w:rsidRPr="009107C2">
        <w:rPr>
          <w:sz w:val="24"/>
          <w:szCs w:val="24"/>
          <w:rtl/>
        </w:rPr>
        <w:t xml:space="preserve"> בתוך שנתיים </w:t>
      </w:r>
      <w:r w:rsidR="00A376C7">
        <w:rPr>
          <w:rFonts w:hint="cs"/>
          <w:sz w:val="24"/>
          <w:szCs w:val="24"/>
          <w:rtl/>
        </w:rPr>
        <w:t xml:space="preserve">ממועד תחילת תוקפו של הרישיון. </w:t>
      </w:r>
      <w:r w:rsidRPr="009107C2">
        <w:rPr>
          <w:sz w:val="24"/>
          <w:szCs w:val="24"/>
          <w:rtl/>
        </w:rPr>
        <w:t xml:space="preserve">במועד ההודעה על רצונו לקבל רישיון, לא יהיו ידועים </w:t>
      </w:r>
      <w:r w:rsidR="00A376C7">
        <w:rPr>
          <w:rFonts w:hint="cs"/>
          <w:sz w:val="24"/>
          <w:szCs w:val="24"/>
          <w:rtl/>
        </w:rPr>
        <w:t xml:space="preserve">לבעל הזיכיון </w:t>
      </w:r>
      <w:r w:rsidRPr="009107C2">
        <w:rPr>
          <w:sz w:val="24"/>
          <w:szCs w:val="24"/>
          <w:rtl/>
        </w:rPr>
        <w:t>הפרש</w:t>
      </w:r>
      <w:r w:rsidR="00A376C7">
        <w:rPr>
          <w:sz w:val="24"/>
          <w:szCs w:val="24"/>
          <w:rtl/>
        </w:rPr>
        <w:t>י ההכנסה לגביהם עליו לגבש תכנית</w:t>
      </w:r>
      <w:r w:rsidR="00C943C5">
        <w:rPr>
          <w:rFonts w:hint="cs"/>
          <w:sz w:val="24"/>
          <w:szCs w:val="24"/>
          <w:rtl/>
        </w:rPr>
        <w:t xml:space="preserve"> ולכן מוצע לחייבו להגיש ת</w:t>
      </w:r>
      <w:r w:rsidR="00A376C7">
        <w:rPr>
          <w:rFonts w:hint="cs"/>
          <w:sz w:val="24"/>
          <w:szCs w:val="24"/>
          <w:rtl/>
        </w:rPr>
        <w:t>כנית כאמור בתוך שנה ממועד הודעתו ובהתאמה לחייבו להשלמת המחויבויות בתוך שנתיים ממועד תחילת הרישיו</w:t>
      </w:r>
      <w:r w:rsidR="00A376C7">
        <w:rPr>
          <w:rFonts w:hint="eastAsia"/>
          <w:sz w:val="24"/>
          <w:szCs w:val="24"/>
          <w:rtl/>
        </w:rPr>
        <w:t>ן</w:t>
      </w:r>
      <w:r w:rsidR="00A376C7">
        <w:rPr>
          <w:rFonts w:hint="cs"/>
          <w:sz w:val="24"/>
          <w:szCs w:val="24"/>
          <w:rtl/>
        </w:rPr>
        <w:t>.</w:t>
      </w:r>
      <w:r w:rsidRPr="009107C2">
        <w:rPr>
          <w:sz w:val="24"/>
          <w:szCs w:val="24"/>
          <w:rtl/>
        </w:rPr>
        <w:t xml:space="preserve">  </w:t>
      </w:r>
    </w:p>
    <w:p w:rsidR="00AF60E5" w:rsidRDefault="00AF60E5" w:rsidP="00AF60E5">
      <w:pPr>
        <w:pStyle w:val="Hesber1st"/>
        <w:tabs>
          <w:tab w:val="clear" w:pos="680"/>
        </w:tabs>
        <w:rPr>
          <w:b/>
          <w:bCs/>
          <w:sz w:val="24"/>
          <w:szCs w:val="24"/>
          <w:rtl/>
        </w:rPr>
      </w:pPr>
    </w:p>
    <w:p w:rsidR="00AF60E5" w:rsidRDefault="00AF60E5" w:rsidP="009B12E4">
      <w:pPr>
        <w:pStyle w:val="Hesber1st"/>
        <w:tabs>
          <w:tab w:val="clear" w:pos="680"/>
        </w:tabs>
        <w:rPr>
          <w:sz w:val="24"/>
          <w:szCs w:val="24"/>
          <w:rtl/>
        </w:rPr>
      </w:pPr>
      <w:r>
        <w:rPr>
          <w:rFonts w:hint="cs"/>
          <w:b/>
          <w:bCs/>
          <w:sz w:val="24"/>
          <w:szCs w:val="24"/>
          <w:rtl/>
        </w:rPr>
        <w:t>ל</w:t>
      </w:r>
      <w:r w:rsidRPr="008D2E72">
        <w:rPr>
          <w:rFonts w:hint="cs"/>
          <w:b/>
          <w:bCs/>
          <w:sz w:val="24"/>
          <w:szCs w:val="24"/>
          <w:rtl/>
        </w:rPr>
        <w:t xml:space="preserve">סעיף </w:t>
      </w:r>
      <w:r w:rsidR="009B12E4">
        <w:rPr>
          <w:rFonts w:hint="cs"/>
          <w:b/>
          <w:bCs/>
          <w:sz w:val="24"/>
          <w:szCs w:val="24"/>
          <w:rtl/>
        </w:rPr>
        <w:t>4</w:t>
      </w:r>
      <w:r w:rsidRPr="00A67C98">
        <w:rPr>
          <w:rFonts w:hint="cs"/>
          <w:sz w:val="24"/>
          <w:szCs w:val="24"/>
          <w:rtl/>
        </w:rPr>
        <w:t xml:space="preserve">  </w:t>
      </w:r>
      <w:r>
        <w:rPr>
          <w:rFonts w:hint="cs"/>
          <w:sz w:val="24"/>
          <w:szCs w:val="24"/>
          <w:rtl/>
        </w:rPr>
        <w:t xml:space="preserve"> </w:t>
      </w:r>
      <w:r w:rsidR="00B31062" w:rsidRPr="00B31062">
        <w:rPr>
          <w:rFonts w:hint="cs"/>
          <w:b/>
          <w:bCs/>
          <w:sz w:val="24"/>
          <w:szCs w:val="24"/>
          <w:rtl/>
        </w:rPr>
        <w:t>-</w:t>
      </w:r>
    </w:p>
    <w:p w:rsidR="00AF60E5" w:rsidRDefault="00AF60E5" w:rsidP="00511342">
      <w:pPr>
        <w:pStyle w:val="Hesber1st"/>
        <w:tabs>
          <w:tab w:val="clear" w:pos="680"/>
        </w:tabs>
        <w:rPr>
          <w:sz w:val="24"/>
          <w:szCs w:val="24"/>
          <w:rtl/>
        </w:rPr>
      </w:pPr>
      <w:r w:rsidRPr="00A67C98">
        <w:rPr>
          <w:rFonts w:hint="cs"/>
          <w:sz w:val="24"/>
          <w:szCs w:val="24"/>
          <w:rtl/>
        </w:rPr>
        <w:t>מ</w:t>
      </w:r>
      <w:r>
        <w:rPr>
          <w:rFonts w:hint="cs"/>
          <w:sz w:val="24"/>
          <w:szCs w:val="24"/>
          <w:rtl/>
        </w:rPr>
        <w:t>וצע לתקן את מועד כניסתו לתוקף של תיקון מס' 34 לחוק,</w:t>
      </w:r>
      <w:r w:rsidRPr="00A67C98">
        <w:rPr>
          <w:rFonts w:hint="cs"/>
          <w:sz w:val="24"/>
          <w:szCs w:val="24"/>
          <w:rtl/>
        </w:rPr>
        <w:t xml:space="preserve"> </w:t>
      </w:r>
      <w:r>
        <w:rPr>
          <w:rFonts w:hint="cs"/>
          <w:sz w:val="24"/>
          <w:szCs w:val="24"/>
          <w:rtl/>
        </w:rPr>
        <w:t>לצורך התאמת מועד המעבר לשיטת הא</w:t>
      </w:r>
      <w:r w:rsidRPr="00A67C98">
        <w:rPr>
          <w:rFonts w:hint="cs"/>
          <w:sz w:val="24"/>
          <w:szCs w:val="24"/>
          <w:rtl/>
        </w:rPr>
        <w:t xml:space="preserve">סדרה </w:t>
      </w:r>
      <w:r>
        <w:rPr>
          <w:rFonts w:hint="cs"/>
          <w:sz w:val="24"/>
          <w:szCs w:val="24"/>
          <w:rtl/>
        </w:rPr>
        <w:t>החדשה ליום ה- 1 ב</w:t>
      </w:r>
      <w:r w:rsidR="00511342">
        <w:rPr>
          <w:rFonts w:hint="cs"/>
          <w:sz w:val="24"/>
          <w:szCs w:val="24"/>
          <w:rtl/>
        </w:rPr>
        <w:t>אפריל</w:t>
      </w:r>
      <w:r>
        <w:rPr>
          <w:rFonts w:hint="cs"/>
          <w:sz w:val="24"/>
          <w:szCs w:val="24"/>
          <w:rtl/>
        </w:rPr>
        <w:t xml:space="preserve"> 2015 במקום יום ה- 1 בנובמבר 2015 הקבוע כיום. </w:t>
      </w:r>
    </w:p>
    <w:p w:rsidR="00AF60E5" w:rsidRPr="00A67C98" w:rsidRDefault="00AF60E5" w:rsidP="00AF60E5">
      <w:pPr>
        <w:pStyle w:val="Hesber1st"/>
        <w:tabs>
          <w:tab w:val="clear" w:pos="680"/>
        </w:tabs>
        <w:rPr>
          <w:sz w:val="24"/>
          <w:szCs w:val="24"/>
          <w:rtl/>
        </w:rPr>
      </w:pPr>
    </w:p>
    <w:p w:rsidR="00AF60E5" w:rsidRDefault="00AF60E5" w:rsidP="009B12E4">
      <w:pPr>
        <w:pStyle w:val="Hesber1st"/>
        <w:tabs>
          <w:tab w:val="clear" w:pos="680"/>
        </w:tabs>
        <w:rPr>
          <w:sz w:val="24"/>
          <w:szCs w:val="24"/>
          <w:rtl/>
        </w:rPr>
      </w:pPr>
      <w:r>
        <w:rPr>
          <w:rFonts w:hint="cs"/>
          <w:b/>
          <w:bCs/>
          <w:sz w:val="24"/>
          <w:szCs w:val="24"/>
          <w:rtl/>
        </w:rPr>
        <w:t>ל</w:t>
      </w:r>
      <w:r w:rsidRPr="008D2E72">
        <w:rPr>
          <w:rFonts w:hint="cs"/>
          <w:b/>
          <w:bCs/>
          <w:sz w:val="24"/>
          <w:szCs w:val="24"/>
          <w:rtl/>
        </w:rPr>
        <w:t xml:space="preserve">סעיף </w:t>
      </w:r>
      <w:r>
        <w:rPr>
          <w:rFonts w:hint="cs"/>
          <w:b/>
          <w:bCs/>
          <w:sz w:val="24"/>
          <w:szCs w:val="24"/>
          <w:rtl/>
        </w:rPr>
        <w:t xml:space="preserve"> </w:t>
      </w:r>
      <w:r w:rsidR="009B12E4">
        <w:rPr>
          <w:rFonts w:hint="cs"/>
          <w:b/>
          <w:bCs/>
          <w:sz w:val="24"/>
          <w:szCs w:val="24"/>
          <w:rtl/>
        </w:rPr>
        <w:t>5</w:t>
      </w:r>
      <w:r>
        <w:rPr>
          <w:rFonts w:hint="cs"/>
          <w:sz w:val="24"/>
          <w:szCs w:val="24"/>
          <w:rtl/>
        </w:rPr>
        <w:t xml:space="preserve"> </w:t>
      </w:r>
      <w:r w:rsidR="00B31062" w:rsidRPr="00B31062">
        <w:rPr>
          <w:rFonts w:hint="cs"/>
          <w:b/>
          <w:bCs/>
          <w:sz w:val="24"/>
          <w:szCs w:val="24"/>
          <w:rtl/>
        </w:rPr>
        <w:t>-</w:t>
      </w:r>
    </w:p>
    <w:p w:rsidR="00573F82" w:rsidRDefault="00573F82" w:rsidP="00AF60E5">
      <w:pPr>
        <w:pStyle w:val="Hesber1st"/>
        <w:tabs>
          <w:tab w:val="clear" w:pos="680"/>
        </w:tabs>
        <w:rPr>
          <w:sz w:val="24"/>
          <w:szCs w:val="24"/>
          <w:rtl/>
        </w:rPr>
      </w:pPr>
      <w:r w:rsidRPr="00573F82">
        <w:rPr>
          <w:sz w:val="24"/>
          <w:szCs w:val="24"/>
          <w:rtl/>
        </w:rPr>
        <w:t>סעיף 6כא1(ב)(3) לחוק התקשורת (בזק ושידורים), תשמ"ב-1982, מסמיך את המועצה לשידורי כבלים ושידורי לוויין להורות לבעל רישיון כללי לשידורי כבלים בדבר האפיקים שבהם ישודרו שידורי טלוויזיה שונים, ובהם שידורי הטלוויזיה שמשדרים בעלי הזיכיונות לשידורי טלוויזיה לפי החוק. מוצע לתקן סעיף זה לצ</w:t>
      </w:r>
      <w:r w:rsidR="00AA0D68">
        <w:rPr>
          <w:sz w:val="24"/>
          <w:szCs w:val="24"/>
          <w:rtl/>
        </w:rPr>
        <w:t xml:space="preserve">ורך התאמתו לשיטת האסדרה החדשה, </w:t>
      </w:r>
      <w:r w:rsidRPr="00573F82">
        <w:rPr>
          <w:sz w:val="24"/>
          <w:szCs w:val="24"/>
          <w:rtl/>
        </w:rPr>
        <w:t xml:space="preserve">לפיה לא יהיו עוד בעלי זיכיונות לשידורי טלוויזיה לפי החוק.  </w:t>
      </w:r>
    </w:p>
    <w:p w:rsidR="00AF60E5" w:rsidRPr="00A67C98" w:rsidRDefault="00AF60E5" w:rsidP="00AF60E5">
      <w:pPr>
        <w:pStyle w:val="Hesber1st"/>
        <w:tabs>
          <w:tab w:val="clear" w:pos="680"/>
        </w:tabs>
        <w:rPr>
          <w:sz w:val="24"/>
          <w:szCs w:val="24"/>
          <w:rtl/>
        </w:rPr>
      </w:pPr>
    </w:p>
    <w:p w:rsidR="00AF60E5" w:rsidRDefault="00AF60E5" w:rsidP="009B12E4">
      <w:pPr>
        <w:pStyle w:val="Hesber1st"/>
        <w:tabs>
          <w:tab w:val="clear" w:pos="680"/>
        </w:tabs>
        <w:rPr>
          <w:sz w:val="24"/>
          <w:szCs w:val="24"/>
          <w:rtl/>
        </w:rPr>
      </w:pPr>
      <w:r>
        <w:rPr>
          <w:rFonts w:hint="cs"/>
          <w:b/>
          <w:bCs/>
          <w:sz w:val="24"/>
          <w:szCs w:val="24"/>
          <w:rtl/>
        </w:rPr>
        <w:t xml:space="preserve">לסעיף </w:t>
      </w:r>
      <w:r w:rsidR="009B12E4">
        <w:rPr>
          <w:rFonts w:hint="cs"/>
          <w:b/>
          <w:bCs/>
          <w:sz w:val="24"/>
          <w:szCs w:val="24"/>
          <w:rtl/>
        </w:rPr>
        <w:t>6</w:t>
      </w:r>
      <w:r>
        <w:rPr>
          <w:rFonts w:hint="cs"/>
          <w:b/>
          <w:bCs/>
          <w:sz w:val="24"/>
          <w:szCs w:val="24"/>
          <w:rtl/>
        </w:rPr>
        <w:t xml:space="preserve"> - </w:t>
      </w:r>
    </w:p>
    <w:p w:rsidR="00AF60E5" w:rsidRPr="00667AB2" w:rsidRDefault="00573F82" w:rsidP="00511342">
      <w:pPr>
        <w:pStyle w:val="Hesber1st"/>
        <w:tabs>
          <w:tab w:val="clear" w:pos="680"/>
        </w:tabs>
        <w:rPr>
          <w:sz w:val="24"/>
          <w:szCs w:val="24"/>
          <w:rtl/>
        </w:rPr>
      </w:pPr>
      <w:r w:rsidRPr="00667AB2">
        <w:rPr>
          <w:sz w:val="24"/>
          <w:szCs w:val="24"/>
          <w:rtl/>
        </w:rPr>
        <w:t xml:space="preserve">מוצע להשיב לבעלי הזיכיונות בערוץ 2 את החלק היחסי מדמי הזיכיון החד-פעמיים </w:t>
      </w:r>
      <w:r w:rsidRPr="00667AB2">
        <w:rPr>
          <w:rFonts w:hint="cs"/>
          <w:sz w:val="24"/>
          <w:szCs w:val="24"/>
          <w:rtl/>
        </w:rPr>
        <w:t>ששילם כל אחד מבעלי הזיכיון</w:t>
      </w:r>
      <w:r w:rsidRPr="00667AB2">
        <w:rPr>
          <w:sz w:val="24"/>
          <w:szCs w:val="24"/>
          <w:rtl/>
        </w:rPr>
        <w:t>, בשל קיצור תקופת הזיכיון ב-</w:t>
      </w:r>
      <w:r w:rsidR="00511342">
        <w:rPr>
          <w:rFonts w:hint="cs"/>
          <w:sz w:val="24"/>
          <w:szCs w:val="24"/>
          <w:rtl/>
        </w:rPr>
        <w:t>7</w:t>
      </w:r>
      <w:r w:rsidRPr="00667AB2">
        <w:rPr>
          <w:sz w:val="24"/>
          <w:szCs w:val="24"/>
          <w:rtl/>
        </w:rPr>
        <w:t xml:space="preserve"> חודשים מתוך 10 שנות זיכיון.</w:t>
      </w:r>
      <w:r w:rsidRPr="00667AB2">
        <w:rPr>
          <w:rFonts w:hint="cs"/>
          <w:sz w:val="24"/>
          <w:szCs w:val="24"/>
          <w:rtl/>
        </w:rPr>
        <w:t xml:space="preserve"> יש לערוך את חישוב החלק היחסי כאמור בהתאם לחלקו היחסי של כל אחד מהם ביחידת השידור השבועית, ב-</w:t>
      </w:r>
      <w:r w:rsidR="00511342">
        <w:rPr>
          <w:rFonts w:hint="cs"/>
          <w:sz w:val="24"/>
          <w:szCs w:val="24"/>
          <w:rtl/>
        </w:rPr>
        <w:t>7</w:t>
      </w:r>
      <w:r w:rsidRPr="00667AB2">
        <w:rPr>
          <w:rFonts w:hint="cs"/>
          <w:sz w:val="24"/>
          <w:szCs w:val="24"/>
          <w:rtl/>
        </w:rPr>
        <w:t xml:space="preserve"> החודשים שקוצרו מתוך 10 שנות הזיכיון.</w:t>
      </w:r>
    </w:p>
    <w:p w:rsidR="00AF60E5" w:rsidRPr="003850F2" w:rsidRDefault="00AF60E5" w:rsidP="00AF60E5">
      <w:pPr>
        <w:pStyle w:val="Hesber1st"/>
        <w:tabs>
          <w:tab w:val="clear" w:pos="680"/>
        </w:tabs>
        <w:rPr>
          <w:rtl/>
        </w:rPr>
      </w:pPr>
    </w:p>
    <w:p w:rsidR="00AF60E5" w:rsidRPr="003850F2" w:rsidRDefault="00AF60E5" w:rsidP="00AF60E5">
      <w:pPr>
        <w:pStyle w:val="Hesber1st"/>
        <w:tabs>
          <w:tab w:val="clear" w:pos="680"/>
        </w:tabs>
        <w:rPr>
          <w:rtl/>
        </w:rPr>
      </w:pPr>
    </w:p>
    <w:p w:rsidR="00AF60E5" w:rsidRPr="003850F2" w:rsidRDefault="00AF60E5" w:rsidP="00AF60E5">
      <w:pPr>
        <w:pStyle w:val="Hesber1st"/>
        <w:tabs>
          <w:tab w:val="clear" w:pos="680"/>
        </w:tabs>
        <w:rPr>
          <w:rtl/>
        </w:rPr>
      </w:pPr>
    </w:p>
    <w:p w:rsidR="00A97023" w:rsidRPr="003850F2" w:rsidRDefault="00A97023" w:rsidP="00A97023">
      <w:pPr>
        <w:pStyle w:val="Hesber1st"/>
        <w:tabs>
          <w:tab w:val="clear" w:pos="680"/>
        </w:tabs>
        <w:rPr>
          <w:rtl/>
        </w:rPr>
      </w:pPr>
    </w:p>
    <w:p w:rsidR="00A97023" w:rsidRPr="003850F2" w:rsidRDefault="00A97023" w:rsidP="00A97023">
      <w:pPr>
        <w:pStyle w:val="Hesber1st"/>
        <w:tabs>
          <w:tab w:val="clear" w:pos="680"/>
        </w:tabs>
        <w:rPr>
          <w:rtl/>
        </w:rPr>
      </w:pPr>
    </w:p>
    <w:p w:rsidR="00A97023" w:rsidRPr="003850F2" w:rsidRDefault="00A97023" w:rsidP="00A97023">
      <w:pPr>
        <w:pStyle w:val="Hesber1st"/>
        <w:tabs>
          <w:tab w:val="clear" w:pos="680"/>
        </w:tabs>
        <w:rPr>
          <w:rtl/>
        </w:rPr>
      </w:pPr>
    </w:p>
    <w:p w:rsidR="00A97023" w:rsidRPr="003850F2" w:rsidRDefault="00A97023" w:rsidP="00A97023">
      <w:pPr>
        <w:pStyle w:val="Hesber1st"/>
        <w:tabs>
          <w:tab w:val="clear" w:pos="680"/>
        </w:tabs>
      </w:pPr>
    </w:p>
    <w:p w:rsidR="00A97023" w:rsidRPr="00C04CFF" w:rsidRDefault="00A97023" w:rsidP="00A97023"/>
    <w:p w:rsidR="00A97023" w:rsidRDefault="00A97023" w:rsidP="00A97023"/>
    <w:p w:rsidR="001A7D83" w:rsidRPr="00A97023" w:rsidRDefault="001A7D83"/>
    <w:p w:rsidR="009B30DF" w:rsidRDefault="009B30DF" w:rsidP="00BA64BF">
      <w:pPr>
        <w:pStyle w:val="HesberWriters"/>
        <w:spacing w:after="120"/>
        <w:rPr>
          <w:rtl/>
        </w:rPr>
      </w:pPr>
    </w:p>
    <w:sectPr w:rsidR="009B30DF" w:rsidSect="006D751F">
      <w:footerReference w:type="even" r:id="rId9"/>
      <w:footerReference w:type="default" r:id="rId10"/>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9D" w:rsidRDefault="00E0249D">
      <w:r>
        <w:separator/>
      </w:r>
    </w:p>
  </w:endnote>
  <w:endnote w:type="continuationSeparator" w:id="0">
    <w:p w:rsidR="00E0249D" w:rsidRDefault="00E0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adasaMFOMedium">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53" w:rsidRDefault="002D4F53" w:rsidP="002213B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2D4F53" w:rsidRDefault="002D4F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53" w:rsidRPr="006D751F" w:rsidRDefault="002D4F53" w:rsidP="002213BB">
    <w:pPr>
      <w:pStyle w:val="a8"/>
      <w:framePr w:wrap="around" w:vAnchor="text" w:hAnchor="text" w:xAlign="center" w:y="1"/>
      <w:rPr>
        <w:rStyle w:val="a9"/>
        <w:rFonts w:cs="David"/>
        <w:sz w:val="26"/>
        <w:szCs w:val="26"/>
      </w:rPr>
    </w:pPr>
    <w:r w:rsidRPr="006D751F">
      <w:rPr>
        <w:rStyle w:val="a9"/>
        <w:rFonts w:cs="David"/>
        <w:sz w:val="26"/>
        <w:szCs w:val="26"/>
        <w:rtl/>
      </w:rPr>
      <w:fldChar w:fldCharType="begin"/>
    </w:r>
    <w:r w:rsidRPr="006D751F">
      <w:rPr>
        <w:rStyle w:val="a9"/>
        <w:rFonts w:cs="David"/>
        <w:sz w:val="26"/>
        <w:szCs w:val="26"/>
      </w:rPr>
      <w:instrText xml:space="preserve">PAGE  </w:instrText>
    </w:r>
    <w:r w:rsidRPr="006D751F">
      <w:rPr>
        <w:rStyle w:val="a9"/>
        <w:rFonts w:cs="David"/>
        <w:sz w:val="26"/>
        <w:szCs w:val="26"/>
        <w:rtl/>
      </w:rPr>
      <w:fldChar w:fldCharType="separate"/>
    </w:r>
    <w:r w:rsidR="00E226DF">
      <w:rPr>
        <w:rStyle w:val="a9"/>
        <w:rFonts w:cs="David"/>
        <w:noProof/>
        <w:sz w:val="26"/>
        <w:szCs w:val="26"/>
        <w:rtl/>
      </w:rPr>
      <w:t>1</w:t>
    </w:r>
    <w:r w:rsidRPr="006D751F">
      <w:rPr>
        <w:rStyle w:val="a9"/>
        <w:rFonts w:cs="David"/>
        <w:sz w:val="26"/>
        <w:szCs w:val="26"/>
        <w:rtl/>
      </w:rPr>
      <w:fldChar w:fldCharType="end"/>
    </w:r>
  </w:p>
  <w:p w:rsidR="002D4F53" w:rsidRDefault="002D4F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9D" w:rsidRDefault="00E0249D">
      <w:pPr>
        <w:ind w:firstLine="0"/>
      </w:pPr>
      <w:r>
        <w:separator/>
      </w:r>
    </w:p>
  </w:footnote>
  <w:footnote w:type="continuationSeparator" w:id="0">
    <w:p w:rsidR="00E0249D" w:rsidRDefault="00E0249D">
      <w:r>
        <w:continuationSeparator/>
      </w:r>
    </w:p>
  </w:footnote>
  <w:footnote w:type="continuationNotice" w:id="1">
    <w:p w:rsidR="00E0249D" w:rsidRDefault="00E0249D"/>
  </w:footnote>
  <w:footnote w:id="2">
    <w:p w:rsidR="00C91D2C" w:rsidRDefault="00C91D2C">
      <w:pPr>
        <w:pStyle w:val="a4"/>
      </w:pPr>
      <w:r>
        <w:rPr>
          <w:rStyle w:val="a5"/>
        </w:rPr>
        <w:footnoteRef/>
      </w:r>
      <w:r>
        <w:rPr>
          <w:rtl/>
        </w:rPr>
        <w:t xml:space="preserve"> </w:t>
      </w:r>
      <w:r>
        <w:rPr>
          <w:rFonts w:hint="cs"/>
          <w:rtl/>
        </w:rPr>
        <w:t xml:space="preserve">ס"ח </w:t>
      </w:r>
      <w:proofErr w:type="spellStart"/>
      <w:r>
        <w:rPr>
          <w:rFonts w:hint="cs"/>
          <w:rtl/>
        </w:rPr>
        <w:t>התש"ן</w:t>
      </w:r>
      <w:proofErr w:type="spellEnd"/>
      <w:r>
        <w:rPr>
          <w:rFonts w:hint="cs"/>
          <w:rtl/>
        </w:rPr>
        <w:t>, עמ' 59; תשע"ג, עמ' 42.</w:t>
      </w:r>
    </w:p>
  </w:footnote>
  <w:footnote w:id="3">
    <w:p w:rsidR="00DA1B2D" w:rsidRDefault="00DA1B2D">
      <w:pPr>
        <w:pStyle w:val="a4"/>
        <w:rPr>
          <w:rtl/>
        </w:rPr>
      </w:pPr>
      <w:r>
        <w:rPr>
          <w:rStyle w:val="a5"/>
        </w:rPr>
        <w:footnoteRef/>
      </w:r>
      <w:r>
        <w:rPr>
          <w:rtl/>
        </w:rPr>
        <w:t xml:space="preserve"> </w:t>
      </w:r>
      <w:r>
        <w:rPr>
          <w:rFonts w:hint="cs"/>
          <w:rtl/>
        </w:rPr>
        <w:t xml:space="preserve">ס"ח </w:t>
      </w:r>
      <w:proofErr w:type="spellStart"/>
      <w:r>
        <w:rPr>
          <w:rFonts w:hint="cs"/>
          <w:rtl/>
        </w:rPr>
        <w:t>התשס"ג</w:t>
      </w:r>
      <w:proofErr w:type="spellEnd"/>
      <w:r>
        <w:rPr>
          <w:rFonts w:hint="cs"/>
          <w:rtl/>
        </w:rPr>
        <w:t>, עמ' 528.</w:t>
      </w:r>
    </w:p>
  </w:footnote>
  <w:footnote w:id="4">
    <w:p w:rsidR="004A5083" w:rsidRDefault="004A5083">
      <w:pPr>
        <w:pStyle w:val="a4"/>
      </w:pPr>
      <w:r>
        <w:rPr>
          <w:rStyle w:val="a5"/>
        </w:rPr>
        <w:footnoteRef/>
      </w:r>
      <w:r>
        <w:rPr>
          <w:rtl/>
        </w:rPr>
        <w:t xml:space="preserve"> </w:t>
      </w:r>
      <w:r w:rsidRPr="004A5083">
        <w:rPr>
          <w:rtl/>
        </w:rPr>
        <w:t>מספר התיקון יעודכן בהתאם למספר הספציפי של התיקון הנוכחי .</w:t>
      </w:r>
    </w:p>
  </w:footnote>
  <w:footnote w:id="5">
    <w:p w:rsidR="0099769D" w:rsidRDefault="0099769D">
      <w:pPr>
        <w:pStyle w:val="a4"/>
        <w:rPr>
          <w:rtl/>
        </w:rPr>
      </w:pPr>
      <w:r>
        <w:rPr>
          <w:rStyle w:val="a5"/>
        </w:rPr>
        <w:footnoteRef/>
      </w:r>
      <w:r>
        <w:rPr>
          <w:rtl/>
        </w:rPr>
        <w:t xml:space="preserve"> </w:t>
      </w:r>
      <w:r>
        <w:rPr>
          <w:rFonts w:hint="cs"/>
          <w:rtl/>
        </w:rPr>
        <w:t xml:space="preserve">ס"ח </w:t>
      </w:r>
      <w:proofErr w:type="spellStart"/>
      <w:r>
        <w:rPr>
          <w:rFonts w:hint="cs"/>
          <w:rtl/>
        </w:rPr>
        <w:t>התשע"א</w:t>
      </w:r>
      <w:proofErr w:type="spellEnd"/>
      <w:r>
        <w:rPr>
          <w:rFonts w:hint="cs"/>
          <w:rtl/>
        </w:rPr>
        <w:t>, עמ' 302.</w:t>
      </w:r>
    </w:p>
  </w:footnote>
  <w:footnote w:id="6">
    <w:p w:rsidR="0099769D" w:rsidRDefault="0099769D">
      <w:pPr>
        <w:pStyle w:val="a4"/>
      </w:pPr>
      <w:r>
        <w:rPr>
          <w:rStyle w:val="a5"/>
        </w:rPr>
        <w:footnoteRef/>
      </w:r>
      <w:r>
        <w:rPr>
          <w:rtl/>
        </w:rPr>
        <w:t xml:space="preserve"> </w:t>
      </w:r>
      <w:r>
        <w:rPr>
          <w:rFonts w:hint="cs"/>
          <w:rtl/>
        </w:rPr>
        <w:t xml:space="preserve">ס"ח </w:t>
      </w:r>
      <w:proofErr w:type="spellStart"/>
      <w:r w:rsidR="00926327">
        <w:rPr>
          <w:rFonts w:hint="cs"/>
          <w:rtl/>
        </w:rPr>
        <w:t>ה</w:t>
      </w:r>
      <w:r>
        <w:rPr>
          <w:rFonts w:hint="cs"/>
          <w:rtl/>
        </w:rPr>
        <w:t>תשמ"ב</w:t>
      </w:r>
      <w:proofErr w:type="spellEnd"/>
      <w:r>
        <w:rPr>
          <w:rFonts w:hint="cs"/>
          <w:rtl/>
        </w:rPr>
        <w:t>, עמ' 218; תשע"ד, עמ' 294.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2FD6520"/>
    <w:multiLevelType w:val="hybridMultilevel"/>
    <w:tmpl w:val="9EF6C666"/>
    <w:lvl w:ilvl="0" w:tplc="F6DAAE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0272B"/>
    <w:multiLevelType w:val="hybridMultilevel"/>
    <w:tmpl w:val="AC384FB2"/>
    <w:lvl w:ilvl="0" w:tplc="C6E23E2C">
      <w:start w:val="1"/>
      <w:numFmt w:val="decimal"/>
      <w:lvlRestart w:val="0"/>
      <w:lvlText w:val="(%1)"/>
      <w:lvlJc w:val="left"/>
      <w:pPr>
        <w:tabs>
          <w:tab w:val="num" w:pos="651"/>
        </w:tabs>
        <w:ind w:left="27" w:firstLine="0"/>
      </w:pPr>
    </w:lvl>
    <w:lvl w:ilvl="1" w:tplc="04090019" w:tentative="1">
      <w:start w:val="1"/>
      <w:numFmt w:val="lowerLetter"/>
      <w:lvlText w:val="%2."/>
      <w:lvlJc w:val="left"/>
      <w:pPr>
        <w:tabs>
          <w:tab w:val="num" w:pos="1467"/>
        </w:tabs>
        <w:ind w:left="1467" w:hanging="360"/>
      </w:p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3">
    <w:nsid w:val="1A65454F"/>
    <w:multiLevelType w:val="hybridMultilevel"/>
    <w:tmpl w:val="2F565892"/>
    <w:lvl w:ilvl="0" w:tplc="BCE04D2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24926"/>
    <w:multiLevelType w:val="hybridMultilevel"/>
    <w:tmpl w:val="EB501858"/>
    <w:lvl w:ilvl="0" w:tplc="7A9A0898">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362182C"/>
    <w:multiLevelType w:val="hybridMultilevel"/>
    <w:tmpl w:val="0B54E2C2"/>
    <w:lvl w:ilvl="0" w:tplc="C7045A4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936ED"/>
    <w:multiLevelType w:val="hybridMultilevel"/>
    <w:tmpl w:val="270EAA56"/>
    <w:lvl w:ilvl="0" w:tplc="28DC0D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459D5"/>
    <w:multiLevelType w:val="hybridMultilevel"/>
    <w:tmpl w:val="75E66BB0"/>
    <w:lvl w:ilvl="0" w:tplc="CE8665B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91C8D"/>
    <w:multiLevelType w:val="hybridMultilevel"/>
    <w:tmpl w:val="0714CC1C"/>
    <w:lvl w:ilvl="0" w:tplc="25465B0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D71A9"/>
    <w:multiLevelType w:val="hybridMultilevel"/>
    <w:tmpl w:val="76760C76"/>
    <w:lvl w:ilvl="0" w:tplc="61C67A16">
      <w:start w:val="1"/>
      <w:numFmt w:val="decimal"/>
      <w:lvlRestart w:val="0"/>
      <w:lvlText w:val="(%1)"/>
      <w:lvlJc w:val="left"/>
      <w:pPr>
        <w:tabs>
          <w:tab w:val="num" w:pos="624"/>
        </w:tabs>
        <w:ind w:left="0" w:firstLine="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657D54"/>
    <w:multiLevelType w:val="hybridMultilevel"/>
    <w:tmpl w:val="997230E0"/>
    <w:lvl w:ilvl="0" w:tplc="8E2E18C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A28EF"/>
    <w:multiLevelType w:val="hybridMultilevel"/>
    <w:tmpl w:val="182E1F0E"/>
    <w:lvl w:ilvl="0" w:tplc="1E38C45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4"/>
  </w:num>
  <w:num w:numId="4">
    <w:abstractNumId w:val="14"/>
  </w:num>
  <w:num w:numId="5">
    <w:abstractNumId w:val="2"/>
  </w:num>
  <w:num w:numId="6">
    <w:abstractNumId w:val="10"/>
  </w:num>
  <w:num w:numId="7">
    <w:abstractNumId w:val="11"/>
  </w:num>
  <w:num w:numId="8">
    <w:abstractNumId w:val="6"/>
  </w:num>
  <w:num w:numId="9">
    <w:abstractNumId w:val="1"/>
  </w:num>
  <w:num w:numId="10">
    <w:abstractNumId w:val="9"/>
  </w:num>
  <w:num w:numId="11">
    <w:abstractNumId w:val="8"/>
  </w:num>
  <w:num w:numId="12">
    <w:abstractNumId w:val="1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83"/>
    <w:rsid w:val="00001778"/>
    <w:rsid w:val="000103BD"/>
    <w:rsid w:val="00010950"/>
    <w:rsid w:val="00011BA0"/>
    <w:rsid w:val="00011C4D"/>
    <w:rsid w:val="0001316D"/>
    <w:rsid w:val="00014599"/>
    <w:rsid w:val="00014D8E"/>
    <w:rsid w:val="00017BED"/>
    <w:rsid w:val="000220DD"/>
    <w:rsid w:val="00027C50"/>
    <w:rsid w:val="0003252C"/>
    <w:rsid w:val="00035FF6"/>
    <w:rsid w:val="0003612C"/>
    <w:rsid w:val="000423FC"/>
    <w:rsid w:val="00043CE4"/>
    <w:rsid w:val="000528ED"/>
    <w:rsid w:val="0005382C"/>
    <w:rsid w:val="00070BCE"/>
    <w:rsid w:val="0007639B"/>
    <w:rsid w:val="00080B43"/>
    <w:rsid w:val="000814F7"/>
    <w:rsid w:val="00081B3B"/>
    <w:rsid w:val="00084A3D"/>
    <w:rsid w:val="00087860"/>
    <w:rsid w:val="00090605"/>
    <w:rsid w:val="00092990"/>
    <w:rsid w:val="000A240C"/>
    <w:rsid w:val="000A2810"/>
    <w:rsid w:val="000A44A7"/>
    <w:rsid w:val="000B118D"/>
    <w:rsid w:val="000B1250"/>
    <w:rsid w:val="000B22A3"/>
    <w:rsid w:val="000B2867"/>
    <w:rsid w:val="000B4317"/>
    <w:rsid w:val="000C1EA4"/>
    <w:rsid w:val="000C20B6"/>
    <w:rsid w:val="000C2149"/>
    <w:rsid w:val="000C2C85"/>
    <w:rsid w:val="000C3E2E"/>
    <w:rsid w:val="000C3F40"/>
    <w:rsid w:val="000C549E"/>
    <w:rsid w:val="000C6A6D"/>
    <w:rsid w:val="000C72C2"/>
    <w:rsid w:val="000C7865"/>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102970"/>
    <w:rsid w:val="00103DA2"/>
    <w:rsid w:val="00112656"/>
    <w:rsid w:val="00113CC3"/>
    <w:rsid w:val="00121102"/>
    <w:rsid w:val="0013745B"/>
    <w:rsid w:val="00137CF2"/>
    <w:rsid w:val="001408B3"/>
    <w:rsid w:val="00142D93"/>
    <w:rsid w:val="001436D3"/>
    <w:rsid w:val="0014460F"/>
    <w:rsid w:val="0014538C"/>
    <w:rsid w:val="00147CAE"/>
    <w:rsid w:val="0015290F"/>
    <w:rsid w:val="00154264"/>
    <w:rsid w:val="00157888"/>
    <w:rsid w:val="0016052C"/>
    <w:rsid w:val="00161837"/>
    <w:rsid w:val="00162B97"/>
    <w:rsid w:val="00164E21"/>
    <w:rsid w:val="00171BEF"/>
    <w:rsid w:val="00171E15"/>
    <w:rsid w:val="001753B1"/>
    <w:rsid w:val="0017575F"/>
    <w:rsid w:val="00181256"/>
    <w:rsid w:val="00181A1B"/>
    <w:rsid w:val="00182A20"/>
    <w:rsid w:val="00182E30"/>
    <w:rsid w:val="00191FBF"/>
    <w:rsid w:val="00193217"/>
    <w:rsid w:val="00194CA3"/>
    <w:rsid w:val="00194F6C"/>
    <w:rsid w:val="001A28D6"/>
    <w:rsid w:val="001A5632"/>
    <w:rsid w:val="001A73D1"/>
    <w:rsid w:val="001A7A53"/>
    <w:rsid w:val="001A7D83"/>
    <w:rsid w:val="001B1478"/>
    <w:rsid w:val="001B2473"/>
    <w:rsid w:val="001B320D"/>
    <w:rsid w:val="001B6670"/>
    <w:rsid w:val="001B6735"/>
    <w:rsid w:val="001B7CE6"/>
    <w:rsid w:val="001C1AD5"/>
    <w:rsid w:val="001C5094"/>
    <w:rsid w:val="001D2AA9"/>
    <w:rsid w:val="001D549B"/>
    <w:rsid w:val="001D5E31"/>
    <w:rsid w:val="001D7024"/>
    <w:rsid w:val="001D70F3"/>
    <w:rsid w:val="001D7EF3"/>
    <w:rsid w:val="001D7F59"/>
    <w:rsid w:val="001E2DD0"/>
    <w:rsid w:val="001E390B"/>
    <w:rsid w:val="001E48BB"/>
    <w:rsid w:val="001E61B7"/>
    <w:rsid w:val="001E73F2"/>
    <w:rsid w:val="001E7C1D"/>
    <w:rsid w:val="001F2259"/>
    <w:rsid w:val="001F58D5"/>
    <w:rsid w:val="001F660A"/>
    <w:rsid w:val="001F7082"/>
    <w:rsid w:val="00200906"/>
    <w:rsid w:val="0020326A"/>
    <w:rsid w:val="00203A70"/>
    <w:rsid w:val="0020494D"/>
    <w:rsid w:val="00204FFD"/>
    <w:rsid w:val="00220A18"/>
    <w:rsid w:val="002213BB"/>
    <w:rsid w:val="00224579"/>
    <w:rsid w:val="002245FA"/>
    <w:rsid w:val="00224B34"/>
    <w:rsid w:val="0022633D"/>
    <w:rsid w:val="00233A3A"/>
    <w:rsid w:val="00233DFB"/>
    <w:rsid w:val="002345C9"/>
    <w:rsid w:val="00236CCE"/>
    <w:rsid w:val="00244997"/>
    <w:rsid w:val="00250D90"/>
    <w:rsid w:val="002521F3"/>
    <w:rsid w:val="002525DB"/>
    <w:rsid w:val="00255C43"/>
    <w:rsid w:val="00255CC5"/>
    <w:rsid w:val="00256C6A"/>
    <w:rsid w:val="00263F03"/>
    <w:rsid w:val="0026711E"/>
    <w:rsid w:val="002676E4"/>
    <w:rsid w:val="00267869"/>
    <w:rsid w:val="00271F33"/>
    <w:rsid w:val="002814D5"/>
    <w:rsid w:val="00283684"/>
    <w:rsid w:val="002862E7"/>
    <w:rsid w:val="0029060C"/>
    <w:rsid w:val="00294C8B"/>
    <w:rsid w:val="0029611C"/>
    <w:rsid w:val="00296EED"/>
    <w:rsid w:val="002A1526"/>
    <w:rsid w:val="002A6AD0"/>
    <w:rsid w:val="002B51D1"/>
    <w:rsid w:val="002C04C2"/>
    <w:rsid w:val="002C18C4"/>
    <w:rsid w:val="002C1B87"/>
    <w:rsid w:val="002C3633"/>
    <w:rsid w:val="002C3915"/>
    <w:rsid w:val="002C5BFE"/>
    <w:rsid w:val="002C6D87"/>
    <w:rsid w:val="002D1C18"/>
    <w:rsid w:val="002D4F53"/>
    <w:rsid w:val="002D586B"/>
    <w:rsid w:val="002D5D2D"/>
    <w:rsid w:val="002D7634"/>
    <w:rsid w:val="002D76EA"/>
    <w:rsid w:val="002E25E5"/>
    <w:rsid w:val="002E32F0"/>
    <w:rsid w:val="002E4542"/>
    <w:rsid w:val="002E525A"/>
    <w:rsid w:val="002F3E23"/>
    <w:rsid w:val="002F6DE4"/>
    <w:rsid w:val="00300B11"/>
    <w:rsid w:val="00310118"/>
    <w:rsid w:val="0031416A"/>
    <w:rsid w:val="00314957"/>
    <w:rsid w:val="00322336"/>
    <w:rsid w:val="00322E4F"/>
    <w:rsid w:val="003230D2"/>
    <w:rsid w:val="003264EB"/>
    <w:rsid w:val="003279AF"/>
    <w:rsid w:val="003312F7"/>
    <w:rsid w:val="00334626"/>
    <w:rsid w:val="00335F4D"/>
    <w:rsid w:val="003367FE"/>
    <w:rsid w:val="00337DBF"/>
    <w:rsid w:val="003401C2"/>
    <w:rsid w:val="00344F91"/>
    <w:rsid w:val="00345865"/>
    <w:rsid w:val="00346EBA"/>
    <w:rsid w:val="003503FC"/>
    <w:rsid w:val="0035097B"/>
    <w:rsid w:val="00351082"/>
    <w:rsid w:val="00351CDC"/>
    <w:rsid w:val="00352C2C"/>
    <w:rsid w:val="00356BCC"/>
    <w:rsid w:val="003579F5"/>
    <w:rsid w:val="003628BF"/>
    <w:rsid w:val="00363105"/>
    <w:rsid w:val="003633C4"/>
    <w:rsid w:val="00367723"/>
    <w:rsid w:val="00371A0F"/>
    <w:rsid w:val="00372266"/>
    <w:rsid w:val="00372AB6"/>
    <w:rsid w:val="00372B59"/>
    <w:rsid w:val="00373BD5"/>
    <w:rsid w:val="00374C5B"/>
    <w:rsid w:val="00374ECC"/>
    <w:rsid w:val="00375147"/>
    <w:rsid w:val="003778D1"/>
    <w:rsid w:val="00380958"/>
    <w:rsid w:val="00384A19"/>
    <w:rsid w:val="003850F2"/>
    <w:rsid w:val="0039143F"/>
    <w:rsid w:val="00391847"/>
    <w:rsid w:val="00395D16"/>
    <w:rsid w:val="00397AFE"/>
    <w:rsid w:val="003A574A"/>
    <w:rsid w:val="003A61F0"/>
    <w:rsid w:val="003A663D"/>
    <w:rsid w:val="003A6706"/>
    <w:rsid w:val="003B0217"/>
    <w:rsid w:val="003B784A"/>
    <w:rsid w:val="003C43A7"/>
    <w:rsid w:val="003C5919"/>
    <w:rsid w:val="003C5AE8"/>
    <w:rsid w:val="003C6FAF"/>
    <w:rsid w:val="003D05E6"/>
    <w:rsid w:val="003D2471"/>
    <w:rsid w:val="003D2A1B"/>
    <w:rsid w:val="003D49CD"/>
    <w:rsid w:val="003E0266"/>
    <w:rsid w:val="003E188B"/>
    <w:rsid w:val="003E18FB"/>
    <w:rsid w:val="003E521A"/>
    <w:rsid w:val="003E7834"/>
    <w:rsid w:val="003F1942"/>
    <w:rsid w:val="003F2742"/>
    <w:rsid w:val="003F5FFA"/>
    <w:rsid w:val="003F6FC4"/>
    <w:rsid w:val="004015B5"/>
    <w:rsid w:val="00405752"/>
    <w:rsid w:val="004074F5"/>
    <w:rsid w:val="004121C7"/>
    <w:rsid w:val="004155EC"/>
    <w:rsid w:val="00417379"/>
    <w:rsid w:val="00424252"/>
    <w:rsid w:val="004278FF"/>
    <w:rsid w:val="00430768"/>
    <w:rsid w:val="00430799"/>
    <w:rsid w:val="00430EBB"/>
    <w:rsid w:val="00434BDD"/>
    <w:rsid w:val="00437053"/>
    <w:rsid w:val="00440248"/>
    <w:rsid w:val="00440A73"/>
    <w:rsid w:val="00440D5F"/>
    <w:rsid w:val="00443B89"/>
    <w:rsid w:val="00443C79"/>
    <w:rsid w:val="004461FF"/>
    <w:rsid w:val="004478AF"/>
    <w:rsid w:val="00447E7A"/>
    <w:rsid w:val="00450457"/>
    <w:rsid w:val="004523F3"/>
    <w:rsid w:val="00454DE1"/>
    <w:rsid w:val="00457DAC"/>
    <w:rsid w:val="0046005C"/>
    <w:rsid w:val="00461E39"/>
    <w:rsid w:val="0046210B"/>
    <w:rsid w:val="00471252"/>
    <w:rsid w:val="00473196"/>
    <w:rsid w:val="00474A1A"/>
    <w:rsid w:val="004760C1"/>
    <w:rsid w:val="00476111"/>
    <w:rsid w:val="004761E1"/>
    <w:rsid w:val="004816B0"/>
    <w:rsid w:val="00484E8A"/>
    <w:rsid w:val="00487CF7"/>
    <w:rsid w:val="004900A8"/>
    <w:rsid w:val="0049107E"/>
    <w:rsid w:val="004926A7"/>
    <w:rsid w:val="0049414A"/>
    <w:rsid w:val="00496D63"/>
    <w:rsid w:val="004A0AC4"/>
    <w:rsid w:val="004A24D6"/>
    <w:rsid w:val="004A26F4"/>
    <w:rsid w:val="004A4161"/>
    <w:rsid w:val="004A424F"/>
    <w:rsid w:val="004A430A"/>
    <w:rsid w:val="004A44A6"/>
    <w:rsid w:val="004A4B17"/>
    <w:rsid w:val="004A5083"/>
    <w:rsid w:val="004A5B2F"/>
    <w:rsid w:val="004B0D40"/>
    <w:rsid w:val="004B0F23"/>
    <w:rsid w:val="004C1EB9"/>
    <w:rsid w:val="004C455F"/>
    <w:rsid w:val="004C6AE5"/>
    <w:rsid w:val="004D0317"/>
    <w:rsid w:val="004D6DA9"/>
    <w:rsid w:val="004D6EEF"/>
    <w:rsid w:val="004D7C54"/>
    <w:rsid w:val="004E2025"/>
    <w:rsid w:val="004E2920"/>
    <w:rsid w:val="004E7E58"/>
    <w:rsid w:val="004F030D"/>
    <w:rsid w:val="004F08CD"/>
    <w:rsid w:val="004F1D75"/>
    <w:rsid w:val="004F31D4"/>
    <w:rsid w:val="0050052F"/>
    <w:rsid w:val="00503233"/>
    <w:rsid w:val="00503C22"/>
    <w:rsid w:val="005042D3"/>
    <w:rsid w:val="00504784"/>
    <w:rsid w:val="00506BCA"/>
    <w:rsid w:val="00507BA4"/>
    <w:rsid w:val="00511342"/>
    <w:rsid w:val="005123B1"/>
    <w:rsid w:val="005150DC"/>
    <w:rsid w:val="0051760B"/>
    <w:rsid w:val="005203E9"/>
    <w:rsid w:val="00520FC3"/>
    <w:rsid w:val="00521357"/>
    <w:rsid w:val="0052258A"/>
    <w:rsid w:val="00523CFA"/>
    <w:rsid w:val="00525E68"/>
    <w:rsid w:val="005275E5"/>
    <w:rsid w:val="00531D84"/>
    <w:rsid w:val="00537F0B"/>
    <w:rsid w:val="00546437"/>
    <w:rsid w:val="005464D6"/>
    <w:rsid w:val="00546A49"/>
    <w:rsid w:val="00550A56"/>
    <w:rsid w:val="0055544F"/>
    <w:rsid w:val="005558C6"/>
    <w:rsid w:val="0055755D"/>
    <w:rsid w:val="005625F4"/>
    <w:rsid w:val="00567EE5"/>
    <w:rsid w:val="00567FB2"/>
    <w:rsid w:val="005723FE"/>
    <w:rsid w:val="00573A40"/>
    <w:rsid w:val="00573F82"/>
    <w:rsid w:val="005762C2"/>
    <w:rsid w:val="005771C4"/>
    <w:rsid w:val="0059152C"/>
    <w:rsid w:val="005A0475"/>
    <w:rsid w:val="005A0504"/>
    <w:rsid w:val="005A170C"/>
    <w:rsid w:val="005A3443"/>
    <w:rsid w:val="005A71A0"/>
    <w:rsid w:val="005B065E"/>
    <w:rsid w:val="005C086A"/>
    <w:rsid w:val="005C6009"/>
    <w:rsid w:val="005C731E"/>
    <w:rsid w:val="005C7BC5"/>
    <w:rsid w:val="005D022F"/>
    <w:rsid w:val="005D17D1"/>
    <w:rsid w:val="005D2FA0"/>
    <w:rsid w:val="005D51AE"/>
    <w:rsid w:val="005E1CA2"/>
    <w:rsid w:val="005E2B24"/>
    <w:rsid w:val="005F181C"/>
    <w:rsid w:val="005F63FC"/>
    <w:rsid w:val="005F7381"/>
    <w:rsid w:val="00600873"/>
    <w:rsid w:val="006028CC"/>
    <w:rsid w:val="0060685C"/>
    <w:rsid w:val="00607770"/>
    <w:rsid w:val="00607881"/>
    <w:rsid w:val="00612FCD"/>
    <w:rsid w:val="00614F32"/>
    <w:rsid w:val="00615391"/>
    <w:rsid w:val="00615CC5"/>
    <w:rsid w:val="00616442"/>
    <w:rsid w:val="00616929"/>
    <w:rsid w:val="00616DBB"/>
    <w:rsid w:val="00617BEB"/>
    <w:rsid w:val="00621801"/>
    <w:rsid w:val="00622152"/>
    <w:rsid w:val="006245DD"/>
    <w:rsid w:val="006261CD"/>
    <w:rsid w:val="00626E1B"/>
    <w:rsid w:val="006304E2"/>
    <w:rsid w:val="00630B04"/>
    <w:rsid w:val="00637FF6"/>
    <w:rsid w:val="006401C8"/>
    <w:rsid w:val="006416BB"/>
    <w:rsid w:val="006424D1"/>
    <w:rsid w:val="0064293D"/>
    <w:rsid w:val="00644940"/>
    <w:rsid w:val="00644E5A"/>
    <w:rsid w:val="00646B81"/>
    <w:rsid w:val="0065202C"/>
    <w:rsid w:val="00652EC8"/>
    <w:rsid w:val="0065338F"/>
    <w:rsid w:val="00654A60"/>
    <w:rsid w:val="00656B72"/>
    <w:rsid w:val="00657743"/>
    <w:rsid w:val="00660B4F"/>
    <w:rsid w:val="00660C42"/>
    <w:rsid w:val="00662D9D"/>
    <w:rsid w:val="006634EB"/>
    <w:rsid w:val="00667AB2"/>
    <w:rsid w:val="0067106D"/>
    <w:rsid w:val="0067272A"/>
    <w:rsid w:val="00674761"/>
    <w:rsid w:val="00677190"/>
    <w:rsid w:val="00677938"/>
    <w:rsid w:val="00681067"/>
    <w:rsid w:val="00681911"/>
    <w:rsid w:val="0068600C"/>
    <w:rsid w:val="00692AA5"/>
    <w:rsid w:val="006963DA"/>
    <w:rsid w:val="006A2323"/>
    <w:rsid w:val="006A311B"/>
    <w:rsid w:val="006A370E"/>
    <w:rsid w:val="006A3DB5"/>
    <w:rsid w:val="006A73E4"/>
    <w:rsid w:val="006B293F"/>
    <w:rsid w:val="006B4646"/>
    <w:rsid w:val="006B6F30"/>
    <w:rsid w:val="006B71AC"/>
    <w:rsid w:val="006B7AC2"/>
    <w:rsid w:val="006C01E8"/>
    <w:rsid w:val="006C366F"/>
    <w:rsid w:val="006C3749"/>
    <w:rsid w:val="006C4E1A"/>
    <w:rsid w:val="006C5C0E"/>
    <w:rsid w:val="006C6B37"/>
    <w:rsid w:val="006C74B3"/>
    <w:rsid w:val="006D2D06"/>
    <w:rsid w:val="006D3631"/>
    <w:rsid w:val="006D371F"/>
    <w:rsid w:val="006D489B"/>
    <w:rsid w:val="006D5A11"/>
    <w:rsid w:val="006D7383"/>
    <w:rsid w:val="006D751F"/>
    <w:rsid w:val="006E24A7"/>
    <w:rsid w:val="006E2E9E"/>
    <w:rsid w:val="006E3FFD"/>
    <w:rsid w:val="006E4C3F"/>
    <w:rsid w:val="006F19D7"/>
    <w:rsid w:val="006F6824"/>
    <w:rsid w:val="006F7ECE"/>
    <w:rsid w:val="00703110"/>
    <w:rsid w:val="007053C1"/>
    <w:rsid w:val="00711AD2"/>
    <w:rsid w:val="00711B37"/>
    <w:rsid w:val="00712296"/>
    <w:rsid w:val="00713B9C"/>
    <w:rsid w:val="00714603"/>
    <w:rsid w:val="00714FCC"/>
    <w:rsid w:val="007166D4"/>
    <w:rsid w:val="00716701"/>
    <w:rsid w:val="00722608"/>
    <w:rsid w:val="00724B5A"/>
    <w:rsid w:val="00725641"/>
    <w:rsid w:val="00725D36"/>
    <w:rsid w:val="0073149F"/>
    <w:rsid w:val="00731521"/>
    <w:rsid w:val="007408DF"/>
    <w:rsid w:val="007429CD"/>
    <w:rsid w:val="00746C7C"/>
    <w:rsid w:val="00750095"/>
    <w:rsid w:val="00751800"/>
    <w:rsid w:val="00752D39"/>
    <w:rsid w:val="00757CFC"/>
    <w:rsid w:val="00761DB4"/>
    <w:rsid w:val="007651DC"/>
    <w:rsid w:val="007653D6"/>
    <w:rsid w:val="00765BF3"/>
    <w:rsid w:val="00766065"/>
    <w:rsid w:val="0076660E"/>
    <w:rsid w:val="0077246A"/>
    <w:rsid w:val="00781C4C"/>
    <w:rsid w:val="0078279D"/>
    <w:rsid w:val="00784166"/>
    <w:rsid w:val="00786188"/>
    <w:rsid w:val="00786C27"/>
    <w:rsid w:val="007906D4"/>
    <w:rsid w:val="007916DC"/>
    <w:rsid w:val="007927A3"/>
    <w:rsid w:val="007928D9"/>
    <w:rsid w:val="00793EB4"/>
    <w:rsid w:val="007A1E65"/>
    <w:rsid w:val="007A220C"/>
    <w:rsid w:val="007A2CEE"/>
    <w:rsid w:val="007A2FB8"/>
    <w:rsid w:val="007A492B"/>
    <w:rsid w:val="007A5EA1"/>
    <w:rsid w:val="007A7870"/>
    <w:rsid w:val="007B08FE"/>
    <w:rsid w:val="007B1269"/>
    <w:rsid w:val="007B1C96"/>
    <w:rsid w:val="007B1F80"/>
    <w:rsid w:val="007B4CFB"/>
    <w:rsid w:val="007B58F1"/>
    <w:rsid w:val="007C0140"/>
    <w:rsid w:val="007C19F5"/>
    <w:rsid w:val="007C4541"/>
    <w:rsid w:val="007C593E"/>
    <w:rsid w:val="007D2AC1"/>
    <w:rsid w:val="007D2F46"/>
    <w:rsid w:val="007D3766"/>
    <w:rsid w:val="007D3856"/>
    <w:rsid w:val="007D3A1E"/>
    <w:rsid w:val="007D5923"/>
    <w:rsid w:val="007D78A7"/>
    <w:rsid w:val="007E0186"/>
    <w:rsid w:val="007E0BE1"/>
    <w:rsid w:val="007E5F40"/>
    <w:rsid w:val="007E660A"/>
    <w:rsid w:val="007F048B"/>
    <w:rsid w:val="007F0670"/>
    <w:rsid w:val="007F0C40"/>
    <w:rsid w:val="007F6D9F"/>
    <w:rsid w:val="00800466"/>
    <w:rsid w:val="00803E68"/>
    <w:rsid w:val="008042F1"/>
    <w:rsid w:val="008060B0"/>
    <w:rsid w:val="00806333"/>
    <w:rsid w:val="00807D6B"/>
    <w:rsid w:val="008114AF"/>
    <w:rsid w:val="00812C98"/>
    <w:rsid w:val="00813264"/>
    <w:rsid w:val="00816CB3"/>
    <w:rsid w:val="00816F7B"/>
    <w:rsid w:val="00822DB3"/>
    <w:rsid w:val="00830F64"/>
    <w:rsid w:val="00831610"/>
    <w:rsid w:val="008335B6"/>
    <w:rsid w:val="00833AE4"/>
    <w:rsid w:val="0083549D"/>
    <w:rsid w:val="00837963"/>
    <w:rsid w:val="00837E3B"/>
    <w:rsid w:val="0084105B"/>
    <w:rsid w:val="008418BB"/>
    <w:rsid w:val="008437B1"/>
    <w:rsid w:val="00844639"/>
    <w:rsid w:val="00845495"/>
    <w:rsid w:val="00850601"/>
    <w:rsid w:val="00851554"/>
    <w:rsid w:val="00852B96"/>
    <w:rsid w:val="00857F6B"/>
    <w:rsid w:val="008670F9"/>
    <w:rsid w:val="008674BA"/>
    <w:rsid w:val="00873202"/>
    <w:rsid w:val="008815D0"/>
    <w:rsid w:val="008869AB"/>
    <w:rsid w:val="0089070C"/>
    <w:rsid w:val="00892A7D"/>
    <w:rsid w:val="00893A21"/>
    <w:rsid w:val="00893BF9"/>
    <w:rsid w:val="00896165"/>
    <w:rsid w:val="008A31F5"/>
    <w:rsid w:val="008A49BE"/>
    <w:rsid w:val="008A6798"/>
    <w:rsid w:val="008A7EE5"/>
    <w:rsid w:val="008B122F"/>
    <w:rsid w:val="008B2B37"/>
    <w:rsid w:val="008B4029"/>
    <w:rsid w:val="008B46D9"/>
    <w:rsid w:val="008C0482"/>
    <w:rsid w:val="008C21CF"/>
    <w:rsid w:val="008C2DC7"/>
    <w:rsid w:val="008C5BB3"/>
    <w:rsid w:val="008C7B2C"/>
    <w:rsid w:val="008D4643"/>
    <w:rsid w:val="008E455F"/>
    <w:rsid w:val="008E4745"/>
    <w:rsid w:val="008E59A3"/>
    <w:rsid w:val="008F127C"/>
    <w:rsid w:val="008F21A4"/>
    <w:rsid w:val="008F5931"/>
    <w:rsid w:val="008F5AEF"/>
    <w:rsid w:val="008F6026"/>
    <w:rsid w:val="008F71C2"/>
    <w:rsid w:val="008F730C"/>
    <w:rsid w:val="008F7E1F"/>
    <w:rsid w:val="00900EE6"/>
    <w:rsid w:val="00902BAE"/>
    <w:rsid w:val="00910315"/>
    <w:rsid w:val="009107C2"/>
    <w:rsid w:val="009168CC"/>
    <w:rsid w:val="00917F41"/>
    <w:rsid w:val="0092044B"/>
    <w:rsid w:val="00920F19"/>
    <w:rsid w:val="00922AE0"/>
    <w:rsid w:val="00923474"/>
    <w:rsid w:val="00923801"/>
    <w:rsid w:val="009242EA"/>
    <w:rsid w:val="00926327"/>
    <w:rsid w:val="00927886"/>
    <w:rsid w:val="0093030A"/>
    <w:rsid w:val="009318A0"/>
    <w:rsid w:val="009337BD"/>
    <w:rsid w:val="00937040"/>
    <w:rsid w:val="00940162"/>
    <w:rsid w:val="00953ADA"/>
    <w:rsid w:val="00953D02"/>
    <w:rsid w:val="009546CA"/>
    <w:rsid w:val="0095563E"/>
    <w:rsid w:val="00961C2C"/>
    <w:rsid w:val="00963ED1"/>
    <w:rsid w:val="0096682B"/>
    <w:rsid w:val="00966955"/>
    <w:rsid w:val="00967FD4"/>
    <w:rsid w:val="009725D6"/>
    <w:rsid w:val="0097399B"/>
    <w:rsid w:val="00974123"/>
    <w:rsid w:val="0097544F"/>
    <w:rsid w:val="009776F5"/>
    <w:rsid w:val="0098034B"/>
    <w:rsid w:val="00984795"/>
    <w:rsid w:val="00990287"/>
    <w:rsid w:val="00993C06"/>
    <w:rsid w:val="009956E9"/>
    <w:rsid w:val="00995BFE"/>
    <w:rsid w:val="009963F6"/>
    <w:rsid w:val="00996573"/>
    <w:rsid w:val="009968F2"/>
    <w:rsid w:val="0099769D"/>
    <w:rsid w:val="009A00FC"/>
    <w:rsid w:val="009A3379"/>
    <w:rsid w:val="009A3587"/>
    <w:rsid w:val="009B12E4"/>
    <w:rsid w:val="009B30DF"/>
    <w:rsid w:val="009B3F9C"/>
    <w:rsid w:val="009B5891"/>
    <w:rsid w:val="009C2A6C"/>
    <w:rsid w:val="009C61CC"/>
    <w:rsid w:val="009D08FE"/>
    <w:rsid w:val="009D2E91"/>
    <w:rsid w:val="009D3280"/>
    <w:rsid w:val="009D7A05"/>
    <w:rsid w:val="009E732F"/>
    <w:rsid w:val="009F0E9D"/>
    <w:rsid w:val="009F123B"/>
    <w:rsid w:val="009F1C3B"/>
    <w:rsid w:val="009F28BE"/>
    <w:rsid w:val="00A003EC"/>
    <w:rsid w:val="00A00931"/>
    <w:rsid w:val="00A02C75"/>
    <w:rsid w:val="00A06974"/>
    <w:rsid w:val="00A145CD"/>
    <w:rsid w:val="00A17D8F"/>
    <w:rsid w:val="00A17EE7"/>
    <w:rsid w:val="00A21C7F"/>
    <w:rsid w:val="00A224BF"/>
    <w:rsid w:val="00A23DB6"/>
    <w:rsid w:val="00A2437E"/>
    <w:rsid w:val="00A24B06"/>
    <w:rsid w:val="00A32F8C"/>
    <w:rsid w:val="00A3374B"/>
    <w:rsid w:val="00A34AF3"/>
    <w:rsid w:val="00A35B31"/>
    <w:rsid w:val="00A37631"/>
    <w:rsid w:val="00A376C7"/>
    <w:rsid w:val="00A42B42"/>
    <w:rsid w:val="00A51837"/>
    <w:rsid w:val="00A5206E"/>
    <w:rsid w:val="00A53D4E"/>
    <w:rsid w:val="00A5446D"/>
    <w:rsid w:val="00A5732B"/>
    <w:rsid w:val="00A575E3"/>
    <w:rsid w:val="00A66202"/>
    <w:rsid w:val="00A708F3"/>
    <w:rsid w:val="00A709D1"/>
    <w:rsid w:val="00A7265A"/>
    <w:rsid w:val="00A7603D"/>
    <w:rsid w:val="00A77BAD"/>
    <w:rsid w:val="00A81242"/>
    <w:rsid w:val="00A8154C"/>
    <w:rsid w:val="00A82E35"/>
    <w:rsid w:val="00A86FAA"/>
    <w:rsid w:val="00A87A7A"/>
    <w:rsid w:val="00A87BAD"/>
    <w:rsid w:val="00A909BD"/>
    <w:rsid w:val="00A918F4"/>
    <w:rsid w:val="00A969C1"/>
    <w:rsid w:val="00A97023"/>
    <w:rsid w:val="00A9749B"/>
    <w:rsid w:val="00A97A1E"/>
    <w:rsid w:val="00AA0250"/>
    <w:rsid w:val="00AA04B2"/>
    <w:rsid w:val="00AA0D68"/>
    <w:rsid w:val="00AA0E2A"/>
    <w:rsid w:val="00AA1376"/>
    <w:rsid w:val="00AA1CC0"/>
    <w:rsid w:val="00AB12EC"/>
    <w:rsid w:val="00AB1FD3"/>
    <w:rsid w:val="00AB4D3E"/>
    <w:rsid w:val="00AB507D"/>
    <w:rsid w:val="00AB7CF4"/>
    <w:rsid w:val="00AC1184"/>
    <w:rsid w:val="00AC1E23"/>
    <w:rsid w:val="00AC270A"/>
    <w:rsid w:val="00AC58CF"/>
    <w:rsid w:val="00AC6D94"/>
    <w:rsid w:val="00AD444B"/>
    <w:rsid w:val="00AD7387"/>
    <w:rsid w:val="00AE40B0"/>
    <w:rsid w:val="00AE4ECC"/>
    <w:rsid w:val="00AE69E6"/>
    <w:rsid w:val="00AF5D94"/>
    <w:rsid w:val="00AF60E5"/>
    <w:rsid w:val="00AF6C74"/>
    <w:rsid w:val="00B0490F"/>
    <w:rsid w:val="00B04A30"/>
    <w:rsid w:val="00B11FD2"/>
    <w:rsid w:val="00B131BD"/>
    <w:rsid w:val="00B13215"/>
    <w:rsid w:val="00B13DF8"/>
    <w:rsid w:val="00B2094E"/>
    <w:rsid w:val="00B211E7"/>
    <w:rsid w:val="00B2218C"/>
    <w:rsid w:val="00B22AD0"/>
    <w:rsid w:val="00B22D00"/>
    <w:rsid w:val="00B24577"/>
    <w:rsid w:val="00B31062"/>
    <w:rsid w:val="00B31636"/>
    <w:rsid w:val="00B31E02"/>
    <w:rsid w:val="00B33F36"/>
    <w:rsid w:val="00B350EA"/>
    <w:rsid w:val="00B372E6"/>
    <w:rsid w:val="00B3768B"/>
    <w:rsid w:val="00B46D15"/>
    <w:rsid w:val="00B473BA"/>
    <w:rsid w:val="00B50517"/>
    <w:rsid w:val="00B5366F"/>
    <w:rsid w:val="00B5370A"/>
    <w:rsid w:val="00B54879"/>
    <w:rsid w:val="00B553AE"/>
    <w:rsid w:val="00B71161"/>
    <w:rsid w:val="00B7157A"/>
    <w:rsid w:val="00B7645F"/>
    <w:rsid w:val="00B80180"/>
    <w:rsid w:val="00B824BD"/>
    <w:rsid w:val="00B82723"/>
    <w:rsid w:val="00B83C83"/>
    <w:rsid w:val="00B859E4"/>
    <w:rsid w:val="00B85A50"/>
    <w:rsid w:val="00B90EB3"/>
    <w:rsid w:val="00B93E66"/>
    <w:rsid w:val="00B9679E"/>
    <w:rsid w:val="00B969EC"/>
    <w:rsid w:val="00B97B60"/>
    <w:rsid w:val="00B97DFA"/>
    <w:rsid w:val="00BA167E"/>
    <w:rsid w:val="00BA64BF"/>
    <w:rsid w:val="00BA6EED"/>
    <w:rsid w:val="00BB0E52"/>
    <w:rsid w:val="00BB11BB"/>
    <w:rsid w:val="00BB1D40"/>
    <w:rsid w:val="00BB3C85"/>
    <w:rsid w:val="00BC112A"/>
    <w:rsid w:val="00BC1AC5"/>
    <w:rsid w:val="00BC471B"/>
    <w:rsid w:val="00BC4C6D"/>
    <w:rsid w:val="00BC6677"/>
    <w:rsid w:val="00BC67DD"/>
    <w:rsid w:val="00BD12FF"/>
    <w:rsid w:val="00BD14DD"/>
    <w:rsid w:val="00BD3AE0"/>
    <w:rsid w:val="00BD5EC2"/>
    <w:rsid w:val="00BD6A9A"/>
    <w:rsid w:val="00BD7EC4"/>
    <w:rsid w:val="00BE0731"/>
    <w:rsid w:val="00BE5292"/>
    <w:rsid w:val="00BE5920"/>
    <w:rsid w:val="00BE669B"/>
    <w:rsid w:val="00BE7EE3"/>
    <w:rsid w:val="00BF1091"/>
    <w:rsid w:val="00BF5A8A"/>
    <w:rsid w:val="00C0166C"/>
    <w:rsid w:val="00C02E9F"/>
    <w:rsid w:val="00C03879"/>
    <w:rsid w:val="00C06993"/>
    <w:rsid w:val="00C107FA"/>
    <w:rsid w:val="00C12A9C"/>
    <w:rsid w:val="00C12BB7"/>
    <w:rsid w:val="00C134B8"/>
    <w:rsid w:val="00C13CAE"/>
    <w:rsid w:val="00C20BE4"/>
    <w:rsid w:val="00C24BAE"/>
    <w:rsid w:val="00C252BF"/>
    <w:rsid w:val="00C3072B"/>
    <w:rsid w:val="00C3120A"/>
    <w:rsid w:val="00C33EF8"/>
    <w:rsid w:val="00C3490B"/>
    <w:rsid w:val="00C34DE2"/>
    <w:rsid w:val="00C358A1"/>
    <w:rsid w:val="00C35E50"/>
    <w:rsid w:val="00C3704E"/>
    <w:rsid w:val="00C40682"/>
    <w:rsid w:val="00C436B4"/>
    <w:rsid w:val="00C44D2B"/>
    <w:rsid w:val="00C504C2"/>
    <w:rsid w:val="00C514F7"/>
    <w:rsid w:val="00C52485"/>
    <w:rsid w:val="00C5295C"/>
    <w:rsid w:val="00C551FC"/>
    <w:rsid w:val="00C6174E"/>
    <w:rsid w:val="00C6247D"/>
    <w:rsid w:val="00C638EA"/>
    <w:rsid w:val="00C645D5"/>
    <w:rsid w:val="00C664C9"/>
    <w:rsid w:val="00C66A55"/>
    <w:rsid w:val="00C734E7"/>
    <w:rsid w:val="00C75F52"/>
    <w:rsid w:val="00C763D8"/>
    <w:rsid w:val="00C81692"/>
    <w:rsid w:val="00C83A12"/>
    <w:rsid w:val="00C867E6"/>
    <w:rsid w:val="00C91D2C"/>
    <w:rsid w:val="00C91D72"/>
    <w:rsid w:val="00C9215F"/>
    <w:rsid w:val="00C943C5"/>
    <w:rsid w:val="00C96831"/>
    <w:rsid w:val="00CA1CC7"/>
    <w:rsid w:val="00CA203B"/>
    <w:rsid w:val="00CA32BB"/>
    <w:rsid w:val="00CA4C33"/>
    <w:rsid w:val="00CB3743"/>
    <w:rsid w:val="00CB4C0A"/>
    <w:rsid w:val="00CC2FCD"/>
    <w:rsid w:val="00CC35D0"/>
    <w:rsid w:val="00CC6BEB"/>
    <w:rsid w:val="00CD0662"/>
    <w:rsid w:val="00CD14E5"/>
    <w:rsid w:val="00CD2EC7"/>
    <w:rsid w:val="00CD73CF"/>
    <w:rsid w:val="00CE24F8"/>
    <w:rsid w:val="00CE2900"/>
    <w:rsid w:val="00CE2E4B"/>
    <w:rsid w:val="00CE2FB0"/>
    <w:rsid w:val="00CE772F"/>
    <w:rsid w:val="00CE77C9"/>
    <w:rsid w:val="00CF0688"/>
    <w:rsid w:val="00CF15FC"/>
    <w:rsid w:val="00CF3E94"/>
    <w:rsid w:val="00CF5BDF"/>
    <w:rsid w:val="00CF7619"/>
    <w:rsid w:val="00D03AE9"/>
    <w:rsid w:val="00D03EBE"/>
    <w:rsid w:val="00D045E7"/>
    <w:rsid w:val="00D04853"/>
    <w:rsid w:val="00D102F9"/>
    <w:rsid w:val="00D131CF"/>
    <w:rsid w:val="00D136C0"/>
    <w:rsid w:val="00D15EAC"/>
    <w:rsid w:val="00D16B7E"/>
    <w:rsid w:val="00D2043B"/>
    <w:rsid w:val="00D21354"/>
    <w:rsid w:val="00D23343"/>
    <w:rsid w:val="00D27112"/>
    <w:rsid w:val="00D34163"/>
    <w:rsid w:val="00D35FF0"/>
    <w:rsid w:val="00D37E0E"/>
    <w:rsid w:val="00D42245"/>
    <w:rsid w:val="00D43BEF"/>
    <w:rsid w:val="00D47516"/>
    <w:rsid w:val="00D477CD"/>
    <w:rsid w:val="00D52873"/>
    <w:rsid w:val="00D537EC"/>
    <w:rsid w:val="00D55F8F"/>
    <w:rsid w:val="00D62568"/>
    <w:rsid w:val="00D66853"/>
    <w:rsid w:val="00D67C12"/>
    <w:rsid w:val="00D70C27"/>
    <w:rsid w:val="00D715E3"/>
    <w:rsid w:val="00D71C8D"/>
    <w:rsid w:val="00D768D4"/>
    <w:rsid w:val="00D77C18"/>
    <w:rsid w:val="00D857E2"/>
    <w:rsid w:val="00D85A6E"/>
    <w:rsid w:val="00D86187"/>
    <w:rsid w:val="00D86C03"/>
    <w:rsid w:val="00D87C17"/>
    <w:rsid w:val="00D93613"/>
    <w:rsid w:val="00D9566A"/>
    <w:rsid w:val="00D95D8D"/>
    <w:rsid w:val="00DA1B2D"/>
    <w:rsid w:val="00DA4ED9"/>
    <w:rsid w:val="00DA6FB0"/>
    <w:rsid w:val="00DB018F"/>
    <w:rsid w:val="00DB0FD3"/>
    <w:rsid w:val="00DB1F6C"/>
    <w:rsid w:val="00DB35DD"/>
    <w:rsid w:val="00DB4F68"/>
    <w:rsid w:val="00DC07D5"/>
    <w:rsid w:val="00DC6322"/>
    <w:rsid w:val="00DC7BB0"/>
    <w:rsid w:val="00DD0FED"/>
    <w:rsid w:val="00DD3C1F"/>
    <w:rsid w:val="00DD4365"/>
    <w:rsid w:val="00DD5761"/>
    <w:rsid w:val="00DD68EF"/>
    <w:rsid w:val="00DE2CFD"/>
    <w:rsid w:val="00DE3760"/>
    <w:rsid w:val="00DE4361"/>
    <w:rsid w:val="00DE7427"/>
    <w:rsid w:val="00DF1F85"/>
    <w:rsid w:val="00DF3A60"/>
    <w:rsid w:val="00DF4ED6"/>
    <w:rsid w:val="00DF5DAA"/>
    <w:rsid w:val="00DF6AF7"/>
    <w:rsid w:val="00E0249D"/>
    <w:rsid w:val="00E035F7"/>
    <w:rsid w:val="00E04FFF"/>
    <w:rsid w:val="00E06346"/>
    <w:rsid w:val="00E10A61"/>
    <w:rsid w:val="00E11B03"/>
    <w:rsid w:val="00E128BC"/>
    <w:rsid w:val="00E12FD8"/>
    <w:rsid w:val="00E133D6"/>
    <w:rsid w:val="00E15ADB"/>
    <w:rsid w:val="00E1690D"/>
    <w:rsid w:val="00E171B7"/>
    <w:rsid w:val="00E17715"/>
    <w:rsid w:val="00E20956"/>
    <w:rsid w:val="00E20EDE"/>
    <w:rsid w:val="00E221EA"/>
    <w:rsid w:val="00E226DF"/>
    <w:rsid w:val="00E23AE2"/>
    <w:rsid w:val="00E276AB"/>
    <w:rsid w:val="00E315C3"/>
    <w:rsid w:val="00E319B8"/>
    <w:rsid w:val="00E321EE"/>
    <w:rsid w:val="00E33D9F"/>
    <w:rsid w:val="00E3570A"/>
    <w:rsid w:val="00E402B4"/>
    <w:rsid w:val="00E410EF"/>
    <w:rsid w:val="00E44D71"/>
    <w:rsid w:val="00E4512C"/>
    <w:rsid w:val="00E4703B"/>
    <w:rsid w:val="00E57743"/>
    <w:rsid w:val="00E60A02"/>
    <w:rsid w:val="00E6384C"/>
    <w:rsid w:val="00E659C5"/>
    <w:rsid w:val="00E65FC5"/>
    <w:rsid w:val="00E7024C"/>
    <w:rsid w:val="00E710D5"/>
    <w:rsid w:val="00E83006"/>
    <w:rsid w:val="00E876E5"/>
    <w:rsid w:val="00E90CD2"/>
    <w:rsid w:val="00EA0833"/>
    <w:rsid w:val="00EA575D"/>
    <w:rsid w:val="00EB108D"/>
    <w:rsid w:val="00EB1D6E"/>
    <w:rsid w:val="00EB522B"/>
    <w:rsid w:val="00EB765D"/>
    <w:rsid w:val="00EC2CE1"/>
    <w:rsid w:val="00ED16ED"/>
    <w:rsid w:val="00ED3771"/>
    <w:rsid w:val="00ED7345"/>
    <w:rsid w:val="00EE45C8"/>
    <w:rsid w:val="00EE76C3"/>
    <w:rsid w:val="00EF5F65"/>
    <w:rsid w:val="00F00DF4"/>
    <w:rsid w:val="00F02AA4"/>
    <w:rsid w:val="00F108D4"/>
    <w:rsid w:val="00F10FBB"/>
    <w:rsid w:val="00F121C1"/>
    <w:rsid w:val="00F1295F"/>
    <w:rsid w:val="00F12F13"/>
    <w:rsid w:val="00F12F20"/>
    <w:rsid w:val="00F15F41"/>
    <w:rsid w:val="00F16F84"/>
    <w:rsid w:val="00F23771"/>
    <w:rsid w:val="00F2400A"/>
    <w:rsid w:val="00F27D1E"/>
    <w:rsid w:val="00F34CBD"/>
    <w:rsid w:val="00F362F1"/>
    <w:rsid w:val="00F405F5"/>
    <w:rsid w:val="00F4272F"/>
    <w:rsid w:val="00F4415A"/>
    <w:rsid w:val="00F444E6"/>
    <w:rsid w:val="00F4660F"/>
    <w:rsid w:val="00F51E46"/>
    <w:rsid w:val="00F53C76"/>
    <w:rsid w:val="00F53D92"/>
    <w:rsid w:val="00F62E7A"/>
    <w:rsid w:val="00F63AB0"/>
    <w:rsid w:val="00F63DD9"/>
    <w:rsid w:val="00F66533"/>
    <w:rsid w:val="00F6741B"/>
    <w:rsid w:val="00F67EA1"/>
    <w:rsid w:val="00F71A0B"/>
    <w:rsid w:val="00F71CC1"/>
    <w:rsid w:val="00F74F31"/>
    <w:rsid w:val="00F75A4A"/>
    <w:rsid w:val="00F80161"/>
    <w:rsid w:val="00F8027C"/>
    <w:rsid w:val="00F805E0"/>
    <w:rsid w:val="00F80638"/>
    <w:rsid w:val="00F85275"/>
    <w:rsid w:val="00F861B6"/>
    <w:rsid w:val="00F86B9A"/>
    <w:rsid w:val="00F87C8F"/>
    <w:rsid w:val="00F87CE4"/>
    <w:rsid w:val="00F90229"/>
    <w:rsid w:val="00F90363"/>
    <w:rsid w:val="00F9596F"/>
    <w:rsid w:val="00FA0C19"/>
    <w:rsid w:val="00FA0CA1"/>
    <w:rsid w:val="00FA1CBB"/>
    <w:rsid w:val="00FA2E09"/>
    <w:rsid w:val="00FA451A"/>
    <w:rsid w:val="00FA557E"/>
    <w:rsid w:val="00FA63FC"/>
    <w:rsid w:val="00FA7508"/>
    <w:rsid w:val="00FB5BD8"/>
    <w:rsid w:val="00FB76CD"/>
    <w:rsid w:val="00FC0222"/>
    <w:rsid w:val="00FC1D1B"/>
    <w:rsid w:val="00FD6A6B"/>
    <w:rsid w:val="00FD7248"/>
    <w:rsid w:val="00FD760F"/>
    <w:rsid w:val="00FE0B4B"/>
    <w:rsid w:val="00FE1B11"/>
    <w:rsid w:val="00FE23C1"/>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6">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7">
    <w:name w:val="header"/>
    <w:basedOn w:val="a"/>
    <w:rsid w:val="00294C8B"/>
    <w:pPr>
      <w:tabs>
        <w:tab w:val="center" w:pos="4153"/>
        <w:tab w:val="right" w:pos="8306"/>
      </w:tabs>
    </w:pPr>
  </w:style>
  <w:style w:type="paragraph" w:styleId="a8">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a">
    <w:name w:val="Balloon Text"/>
    <w:basedOn w:val="a"/>
    <w:link w:val="ab"/>
    <w:rsid w:val="001A7D83"/>
    <w:pPr>
      <w:spacing w:before="0" w:line="240" w:lineRule="auto"/>
    </w:pPr>
    <w:rPr>
      <w:rFonts w:ascii="Tahoma" w:hAnsi="Tahoma" w:cs="Tahoma"/>
      <w:sz w:val="16"/>
      <w:szCs w:val="16"/>
    </w:rPr>
  </w:style>
  <w:style w:type="character" w:customStyle="1" w:styleId="ab">
    <w:name w:val="טקסט בלונים תו"/>
    <w:basedOn w:val="a0"/>
    <w:link w:val="aa"/>
    <w:rsid w:val="001A7D83"/>
    <w:rPr>
      <w:rFonts w:ascii="Tahoma" w:hAnsi="Tahoma" w:cs="Tahoma"/>
      <w:color w:val="000000"/>
      <w:spacing w:val="1"/>
      <w:sz w:val="16"/>
      <w:szCs w:val="16"/>
      <w:lang w:eastAsia="ja-JP"/>
    </w:rPr>
  </w:style>
  <w:style w:type="character" w:styleId="ac">
    <w:name w:val="annotation reference"/>
    <w:basedOn w:val="a0"/>
    <w:rsid w:val="00FA557E"/>
    <w:rPr>
      <w:sz w:val="16"/>
      <w:szCs w:val="16"/>
    </w:rPr>
  </w:style>
  <w:style w:type="paragraph" w:styleId="ad">
    <w:name w:val="annotation text"/>
    <w:basedOn w:val="a"/>
    <w:link w:val="ae"/>
    <w:rsid w:val="00FA557E"/>
    <w:pPr>
      <w:spacing w:line="240" w:lineRule="auto"/>
    </w:pPr>
    <w:rPr>
      <w:sz w:val="20"/>
      <w:szCs w:val="20"/>
    </w:rPr>
  </w:style>
  <w:style w:type="character" w:customStyle="1" w:styleId="ae">
    <w:name w:val="טקסט הערה תו"/>
    <w:basedOn w:val="a0"/>
    <w:link w:val="ad"/>
    <w:rsid w:val="00FA557E"/>
    <w:rPr>
      <w:rFonts w:ascii="Hadasa Roso SL" w:hAnsi="Hadasa Roso SL" w:cs="Hadasa Roso SL"/>
      <w:color w:val="000000"/>
      <w:spacing w:val="1"/>
      <w:lang w:eastAsia="ja-JP"/>
    </w:rPr>
  </w:style>
  <w:style w:type="paragraph" w:styleId="af">
    <w:name w:val="annotation subject"/>
    <w:basedOn w:val="ad"/>
    <w:next w:val="ad"/>
    <w:link w:val="af0"/>
    <w:rsid w:val="00FA557E"/>
    <w:rPr>
      <w:b/>
      <w:bCs/>
    </w:rPr>
  </w:style>
  <w:style w:type="character" w:customStyle="1" w:styleId="af0">
    <w:name w:val="נושא הערה תו"/>
    <w:basedOn w:val="ae"/>
    <w:link w:val="af"/>
    <w:rsid w:val="00FA557E"/>
    <w:rPr>
      <w:rFonts w:ascii="Hadasa Roso SL" w:hAnsi="Hadasa Roso SL" w:cs="Hadasa Roso SL"/>
      <w:b/>
      <w:bCs/>
      <w:color w:val="000000"/>
      <w:spacing w:val="1"/>
      <w:lang w:eastAsia="ja-JP"/>
    </w:rPr>
  </w:style>
  <w:style w:type="paragraph" w:styleId="af1">
    <w:name w:val="List Paragraph"/>
    <w:basedOn w:val="a"/>
    <w:uiPriority w:val="34"/>
    <w:qFormat/>
    <w:rsid w:val="00F42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6">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7">
    <w:name w:val="header"/>
    <w:basedOn w:val="a"/>
    <w:rsid w:val="00294C8B"/>
    <w:pPr>
      <w:tabs>
        <w:tab w:val="center" w:pos="4153"/>
        <w:tab w:val="right" w:pos="8306"/>
      </w:tabs>
    </w:pPr>
  </w:style>
  <w:style w:type="paragraph" w:styleId="a8">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a">
    <w:name w:val="Balloon Text"/>
    <w:basedOn w:val="a"/>
    <w:link w:val="ab"/>
    <w:rsid w:val="001A7D83"/>
    <w:pPr>
      <w:spacing w:before="0" w:line="240" w:lineRule="auto"/>
    </w:pPr>
    <w:rPr>
      <w:rFonts w:ascii="Tahoma" w:hAnsi="Tahoma" w:cs="Tahoma"/>
      <w:sz w:val="16"/>
      <w:szCs w:val="16"/>
    </w:rPr>
  </w:style>
  <w:style w:type="character" w:customStyle="1" w:styleId="ab">
    <w:name w:val="טקסט בלונים תו"/>
    <w:basedOn w:val="a0"/>
    <w:link w:val="aa"/>
    <w:rsid w:val="001A7D83"/>
    <w:rPr>
      <w:rFonts w:ascii="Tahoma" w:hAnsi="Tahoma" w:cs="Tahoma"/>
      <w:color w:val="000000"/>
      <w:spacing w:val="1"/>
      <w:sz w:val="16"/>
      <w:szCs w:val="16"/>
      <w:lang w:eastAsia="ja-JP"/>
    </w:rPr>
  </w:style>
  <w:style w:type="character" w:styleId="ac">
    <w:name w:val="annotation reference"/>
    <w:basedOn w:val="a0"/>
    <w:rsid w:val="00FA557E"/>
    <w:rPr>
      <w:sz w:val="16"/>
      <w:szCs w:val="16"/>
    </w:rPr>
  </w:style>
  <w:style w:type="paragraph" w:styleId="ad">
    <w:name w:val="annotation text"/>
    <w:basedOn w:val="a"/>
    <w:link w:val="ae"/>
    <w:rsid w:val="00FA557E"/>
    <w:pPr>
      <w:spacing w:line="240" w:lineRule="auto"/>
    </w:pPr>
    <w:rPr>
      <w:sz w:val="20"/>
      <w:szCs w:val="20"/>
    </w:rPr>
  </w:style>
  <w:style w:type="character" w:customStyle="1" w:styleId="ae">
    <w:name w:val="טקסט הערה תו"/>
    <w:basedOn w:val="a0"/>
    <w:link w:val="ad"/>
    <w:rsid w:val="00FA557E"/>
    <w:rPr>
      <w:rFonts w:ascii="Hadasa Roso SL" w:hAnsi="Hadasa Roso SL" w:cs="Hadasa Roso SL"/>
      <w:color w:val="000000"/>
      <w:spacing w:val="1"/>
      <w:lang w:eastAsia="ja-JP"/>
    </w:rPr>
  </w:style>
  <w:style w:type="paragraph" w:styleId="af">
    <w:name w:val="annotation subject"/>
    <w:basedOn w:val="ad"/>
    <w:next w:val="ad"/>
    <w:link w:val="af0"/>
    <w:rsid w:val="00FA557E"/>
    <w:rPr>
      <w:b/>
      <w:bCs/>
    </w:rPr>
  </w:style>
  <w:style w:type="character" w:customStyle="1" w:styleId="af0">
    <w:name w:val="נושא הערה תו"/>
    <w:basedOn w:val="ae"/>
    <w:link w:val="af"/>
    <w:rsid w:val="00FA557E"/>
    <w:rPr>
      <w:rFonts w:ascii="Hadasa Roso SL" w:hAnsi="Hadasa Roso SL" w:cs="Hadasa Roso SL"/>
      <w:b/>
      <w:bCs/>
      <w:color w:val="000000"/>
      <w:spacing w:val="1"/>
      <w:lang w:eastAsia="ja-JP"/>
    </w:rPr>
  </w:style>
  <w:style w:type="paragraph" w:styleId="af1">
    <w:name w:val="List Paragraph"/>
    <w:basedOn w:val="a"/>
    <w:uiPriority w:val="34"/>
    <w:qFormat/>
    <w:rsid w:val="00F42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nans\AppData\Roaming\Microsoft\Templates\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B761C9-4D10-4D77-A8A0-D831A9AE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hakikaV5</Template>
  <TotalTime>1</TotalTime>
  <Pages>10</Pages>
  <Words>2905</Words>
  <Characters>14138</Characters>
  <Application>Microsoft Office Word</Application>
  <DocSecurity>0</DocSecurity>
  <Lines>117</Lines>
  <Paragraphs>34</Paragraphs>
  <ScaleCrop>false</ScaleCrop>
  <HeadingPairs>
    <vt:vector size="2" baseType="variant">
      <vt:variant>
        <vt:lpstr>שם</vt:lpstr>
      </vt:variant>
      <vt:variant>
        <vt:i4>1</vt:i4>
      </vt:variant>
    </vt:vector>
  </HeadingPairs>
  <TitlesOfParts>
    <vt:vector size="1" baseType="lpstr">
      <vt:lpstr>רשומות</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tal</dc:creator>
  <cp:lastModifiedBy>liatb</cp:lastModifiedBy>
  <cp:revision>2</cp:revision>
  <cp:lastPrinted>2014-09-01T11:05:00Z</cp:lastPrinted>
  <dcterms:created xsi:type="dcterms:W3CDTF">2014-09-01T11:24:00Z</dcterms:created>
  <dcterms:modified xsi:type="dcterms:W3CDTF">2014-09-01T11:24:00Z</dcterms:modified>
</cp:coreProperties>
</file>