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78" w:rsidRPr="00A27A7C" w:rsidRDefault="00020D78" w:rsidP="00020D78">
      <w:pPr>
        <w:pStyle w:val="HeadHatzaotHok"/>
        <w:jc w:val="both"/>
        <w:rPr>
          <w:sz w:val="32"/>
          <w:szCs w:val="32"/>
          <w:u w:val="single"/>
          <w:rtl/>
        </w:rPr>
      </w:pPr>
      <w:r w:rsidRPr="00A27A7C">
        <w:rPr>
          <w:sz w:val="32"/>
          <w:szCs w:val="32"/>
          <w:u w:val="single"/>
          <w:rtl/>
        </w:rPr>
        <w:t>נוסח מתוקן</w:t>
      </w:r>
    </w:p>
    <w:p w:rsidR="00020D78" w:rsidRPr="00DB7060" w:rsidRDefault="00020D78" w:rsidP="00020D78">
      <w:pPr>
        <w:pStyle w:val="HeadHatzaotHok"/>
        <w:rPr>
          <w:sz w:val="28"/>
          <w:szCs w:val="28"/>
          <w:rtl/>
        </w:rPr>
      </w:pPr>
      <w:r w:rsidRPr="00DB7060">
        <w:rPr>
          <w:sz w:val="28"/>
          <w:szCs w:val="28"/>
          <w:rtl/>
        </w:rPr>
        <w:t xml:space="preserve">הכנסת </w:t>
      </w:r>
      <w:bookmarkStart w:id="0" w:name="KnessetNum"/>
      <w:r w:rsidRPr="00A54D10">
        <w:rPr>
          <w:sz w:val="28"/>
          <w:szCs w:val="28"/>
          <w:rtl/>
        </w:rPr>
        <w:t>השמונה-עשרה</w:t>
      </w:r>
      <w:bookmarkEnd w:id="0"/>
    </w:p>
    <w:p w:rsidR="00020D78" w:rsidRDefault="00020D78" w:rsidP="00020D78">
      <w:pPr>
        <w:rPr>
          <w:rFonts w:cs="David"/>
          <w:sz w:val="26"/>
          <w:szCs w:val="26"/>
          <w:rtl/>
        </w:rPr>
      </w:pPr>
    </w:p>
    <w:p w:rsidR="00020D78" w:rsidRPr="00DA7F74" w:rsidRDefault="00020D78" w:rsidP="00020D78">
      <w:pPr>
        <w:pStyle w:val="David"/>
        <w:ind w:left="2880" w:firstLine="720"/>
        <w:rPr>
          <w:b/>
          <w:bCs/>
        </w:rPr>
      </w:pPr>
      <w:r>
        <w:rPr>
          <w:rFonts w:ascii="Courier New" w:hAnsi="Courier New" w:cs="Courier New" w:hint="cs"/>
          <w:rtl/>
        </w:rPr>
        <w:t>הצעת</w:t>
      </w:r>
      <w:r>
        <w:rPr>
          <w:rtl/>
        </w:rPr>
        <w:t xml:space="preserve"> </w:t>
      </w:r>
      <w:r>
        <w:rPr>
          <w:rFonts w:ascii="Courier New" w:hAnsi="Courier New" w:cs="Courier New" w:hint="cs"/>
          <w:rtl/>
        </w:rPr>
        <w:t>חוק</w:t>
      </w:r>
      <w:r>
        <w:rPr>
          <w:rtl/>
        </w:rPr>
        <w:t xml:space="preserve"> </w:t>
      </w:r>
      <w:r>
        <w:rPr>
          <w:rFonts w:ascii="Courier New" w:hAnsi="Courier New" w:cs="Courier New" w:hint="cs"/>
          <w:rtl/>
        </w:rPr>
        <w:t>של</w:t>
      </w:r>
      <w:r>
        <w:rPr>
          <w:rtl/>
        </w:rPr>
        <w:t xml:space="preserve">  </w:t>
      </w:r>
      <w:bookmarkStart w:id="1" w:name="MKsSingleOrMulti"/>
      <w:r w:rsidRPr="00C751BB">
        <w:rPr>
          <w:rFonts w:ascii="Courier New" w:hAnsi="Courier New" w:cs="Courier New" w:hint="cs"/>
          <w:rtl/>
        </w:rPr>
        <w:t>חברי</w:t>
      </w:r>
      <w:r w:rsidRPr="00C751BB">
        <w:rPr>
          <w:rtl/>
        </w:rPr>
        <w:t xml:space="preserve"> </w:t>
      </w:r>
      <w:r w:rsidRPr="00C751BB">
        <w:rPr>
          <w:rFonts w:ascii="Courier New" w:hAnsi="Courier New" w:cs="Courier New" w:hint="cs"/>
          <w:rtl/>
        </w:rPr>
        <w:t>הכנסת</w:t>
      </w:r>
      <w:bookmarkEnd w:id="1"/>
      <w:r>
        <w:tab/>
      </w:r>
      <w:r>
        <w:tab/>
      </w:r>
      <w:bookmarkStart w:id="2" w:name="MKs"/>
      <w:r w:rsidRPr="00DA7F74">
        <w:rPr>
          <w:rFonts w:ascii="Courier New" w:hAnsi="Courier New" w:cs="Courier New" w:hint="cs"/>
          <w:b/>
          <w:bCs/>
          <w:rtl/>
        </w:rPr>
        <w:t>דוד</w:t>
      </w:r>
      <w:r w:rsidRPr="00DA7F74">
        <w:rPr>
          <w:b/>
          <w:bCs/>
          <w:rtl/>
        </w:rPr>
        <w:t xml:space="preserve"> </w:t>
      </w:r>
      <w:r w:rsidRPr="00DA7F74">
        <w:rPr>
          <w:rFonts w:ascii="Courier New" w:hAnsi="Courier New" w:cs="Courier New" w:hint="cs"/>
          <w:b/>
          <w:bCs/>
          <w:rtl/>
        </w:rPr>
        <w:t>רותם</w:t>
      </w:r>
    </w:p>
    <w:p w:rsidR="00020D78" w:rsidRPr="00DA7F74" w:rsidRDefault="00020D78" w:rsidP="00020D78">
      <w:pPr>
        <w:pStyle w:val="David"/>
        <w:ind w:left="2880" w:firstLine="720"/>
        <w:rPr>
          <w:b/>
          <w:bCs/>
        </w:rPr>
      </w:pPr>
      <w:r w:rsidRPr="00DA7F74">
        <w:rPr>
          <w:b/>
          <w:bCs/>
        </w:rPr>
        <w:tab/>
      </w:r>
      <w:r w:rsidRPr="00DA7F74">
        <w:rPr>
          <w:b/>
          <w:bCs/>
        </w:rPr>
        <w:tab/>
      </w:r>
      <w:r w:rsidRPr="00DA7F74">
        <w:rPr>
          <w:b/>
          <w:bCs/>
        </w:rPr>
        <w:tab/>
      </w:r>
      <w:r w:rsidRPr="00DA7F74">
        <w:rPr>
          <w:b/>
          <w:bCs/>
        </w:rPr>
        <w:tab/>
      </w:r>
      <w:r w:rsidRPr="00DA7F74">
        <w:rPr>
          <w:b/>
          <w:bCs/>
        </w:rPr>
        <w:tab/>
      </w:r>
      <w:r w:rsidRPr="00DA7F74">
        <w:rPr>
          <w:rFonts w:ascii="Courier New" w:hAnsi="Courier New" w:cs="Courier New" w:hint="cs"/>
          <w:b/>
          <w:bCs/>
          <w:rtl/>
        </w:rPr>
        <w:t>יואל</w:t>
      </w:r>
      <w:r w:rsidRPr="00DA7F74">
        <w:rPr>
          <w:b/>
          <w:bCs/>
          <w:rtl/>
        </w:rPr>
        <w:t xml:space="preserve"> </w:t>
      </w:r>
      <w:r w:rsidRPr="00DA7F74">
        <w:rPr>
          <w:rFonts w:ascii="Courier New" w:hAnsi="Courier New" w:cs="Courier New" w:hint="cs"/>
          <w:b/>
          <w:bCs/>
          <w:rtl/>
        </w:rPr>
        <w:t>חסון</w:t>
      </w:r>
    </w:p>
    <w:p w:rsidR="00020D78" w:rsidRPr="00DA7F74" w:rsidRDefault="00020D78" w:rsidP="00020D78">
      <w:pPr>
        <w:pStyle w:val="David"/>
        <w:ind w:left="2880" w:firstLine="720"/>
        <w:rPr>
          <w:b/>
          <w:bCs/>
        </w:rPr>
      </w:pPr>
      <w:r w:rsidRPr="00DA7F74">
        <w:rPr>
          <w:b/>
          <w:bCs/>
        </w:rPr>
        <w:tab/>
      </w:r>
      <w:r w:rsidRPr="00DA7F74">
        <w:rPr>
          <w:b/>
          <w:bCs/>
        </w:rPr>
        <w:tab/>
      </w:r>
      <w:r w:rsidRPr="00DA7F74">
        <w:rPr>
          <w:b/>
          <w:bCs/>
        </w:rPr>
        <w:tab/>
      </w:r>
      <w:r w:rsidRPr="00DA7F74">
        <w:rPr>
          <w:b/>
          <w:bCs/>
        </w:rPr>
        <w:tab/>
      </w:r>
      <w:r w:rsidRPr="00DA7F74">
        <w:rPr>
          <w:b/>
          <w:bCs/>
        </w:rPr>
        <w:tab/>
      </w:r>
      <w:r w:rsidRPr="00DA7F74">
        <w:rPr>
          <w:rFonts w:ascii="Courier New" w:hAnsi="Courier New" w:cs="Courier New" w:hint="cs"/>
          <w:b/>
          <w:bCs/>
          <w:rtl/>
        </w:rPr>
        <w:t>מירי</w:t>
      </w:r>
      <w:r w:rsidRPr="00DA7F74">
        <w:rPr>
          <w:b/>
          <w:bCs/>
          <w:rtl/>
        </w:rPr>
        <w:t xml:space="preserve"> </w:t>
      </w:r>
      <w:r w:rsidRPr="00DA7F74">
        <w:rPr>
          <w:rFonts w:ascii="Courier New" w:hAnsi="Courier New" w:cs="Courier New" w:hint="cs"/>
          <w:b/>
          <w:bCs/>
          <w:rtl/>
        </w:rPr>
        <w:t>רגב</w:t>
      </w:r>
    </w:p>
    <w:p w:rsidR="00020D78" w:rsidRPr="00DA7F74" w:rsidRDefault="00020D78" w:rsidP="00020D78">
      <w:pPr>
        <w:pStyle w:val="David"/>
        <w:ind w:left="2880" w:firstLine="720"/>
        <w:rPr>
          <w:b/>
          <w:bCs/>
        </w:rPr>
      </w:pPr>
      <w:r w:rsidRPr="00DA7F74">
        <w:rPr>
          <w:b/>
          <w:bCs/>
        </w:rPr>
        <w:tab/>
      </w:r>
      <w:r w:rsidRPr="00DA7F74">
        <w:rPr>
          <w:b/>
          <w:bCs/>
        </w:rPr>
        <w:tab/>
      </w:r>
      <w:r w:rsidRPr="00DA7F74">
        <w:rPr>
          <w:b/>
          <w:bCs/>
        </w:rPr>
        <w:tab/>
      </w:r>
      <w:r w:rsidRPr="00DA7F74">
        <w:rPr>
          <w:b/>
          <w:bCs/>
        </w:rPr>
        <w:tab/>
      </w:r>
      <w:r w:rsidRPr="00DA7F74">
        <w:rPr>
          <w:b/>
          <w:bCs/>
        </w:rPr>
        <w:tab/>
      </w:r>
      <w:proofErr w:type="spellStart"/>
      <w:r w:rsidRPr="00DA7F74">
        <w:rPr>
          <w:rFonts w:ascii="Courier New" w:hAnsi="Courier New" w:cs="Courier New" w:hint="cs"/>
          <w:b/>
          <w:bCs/>
          <w:rtl/>
        </w:rPr>
        <w:t>אחמד</w:t>
      </w:r>
      <w:proofErr w:type="spellEnd"/>
      <w:r w:rsidRPr="00DA7F74">
        <w:rPr>
          <w:b/>
          <w:bCs/>
          <w:rtl/>
        </w:rPr>
        <w:t xml:space="preserve"> </w:t>
      </w:r>
      <w:r w:rsidRPr="00DA7F74">
        <w:rPr>
          <w:rFonts w:ascii="Courier New" w:hAnsi="Courier New" w:cs="Courier New" w:hint="cs"/>
          <w:b/>
          <w:bCs/>
          <w:rtl/>
        </w:rPr>
        <w:t>טיבי</w:t>
      </w:r>
    </w:p>
    <w:p w:rsidR="00020D78" w:rsidRPr="00DA7F74" w:rsidRDefault="00020D78" w:rsidP="00020D78">
      <w:pPr>
        <w:pStyle w:val="David"/>
        <w:ind w:left="2880" w:firstLine="720"/>
        <w:rPr>
          <w:b/>
          <w:bCs/>
        </w:rPr>
      </w:pPr>
      <w:r w:rsidRPr="00DA7F74">
        <w:rPr>
          <w:b/>
          <w:bCs/>
        </w:rPr>
        <w:tab/>
      </w:r>
      <w:r w:rsidRPr="00DA7F74">
        <w:rPr>
          <w:b/>
          <w:bCs/>
        </w:rPr>
        <w:tab/>
      </w:r>
      <w:r w:rsidRPr="00DA7F74">
        <w:rPr>
          <w:b/>
          <w:bCs/>
        </w:rPr>
        <w:tab/>
      </w:r>
      <w:r w:rsidRPr="00DA7F74">
        <w:rPr>
          <w:b/>
          <w:bCs/>
        </w:rPr>
        <w:tab/>
      </w:r>
      <w:r w:rsidRPr="00DA7F74">
        <w:rPr>
          <w:b/>
          <w:bCs/>
        </w:rPr>
        <w:tab/>
      </w:r>
      <w:r w:rsidRPr="00DA7F74">
        <w:rPr>
          <w:rFonts w:ascii="Courier New" w:hAnsi="Courier New" w:cs="Courier New" w:hint="cs"/>
          <w:b/>
          <w:bCs/>
          <w:rtl/>
        </w:rPr>
        <w:t>דניאל</w:t>
      </w:r>
      <w:r w:rsidRPr="00DA7F74">
        <w:rPr>
          <w:b/>
          <w:bCs/>
          <w:rtl/>
        </w:rPr>
        <w:t xml:space="preserve"> </w:t>
      </w:r>
      <w:r w:rsidRPr="00DA7F74">
        <w:rPr>
          <w:rFonts w:ascii="Courier New" w:hAnsi="Courier New" w:cs="Courier New" w:hint="cs"/>
          <w:b/>
          <w:bCs/>
          <w:rtl/>
        </w:rPr>
        <w:t>בן</w:t>
      </w:r>
      <w:r w:rsidRPr="00DA7F74">
        <w:rPr>
          <w:b/>
          <w:bCs/>
          <w:rtl/>
        </w:rPr>
        <w:t>-</w:t>
      </w:r>
      <w:r w:rsidRPr="00DA7F74">
        <w:rPr>
          <w:rFonts w:ascii="Courier New" w:hAnsi="Courier New" w:cs="Courier New" w:hint="cs"/>
          <w:b/>
          <w:bCs/>
          <w:rtl/>
        </w:rPr>
        <w:t>סימון</w:t>
      </w:r>
    </w:p>
    <w:p w:rsidR="00020D78" w:rsidRPr="0082596A" w:rsidRDefault="00020D78" w:rsidP="00020D78">
      <w:pPr>
        <w:pStyle w:val="David"/>
        <w:ind w:left="2880" w:firstLine="720"/>
      </w:pPr>
      <w:r w:rsidRPr="00DA7F74">
        <w:rPr>
          <w:b/>
          <w:bCs/>
        </w:rPr>
        <w:tab/>
      </w:r>
      <w:r w:rsidRPr="00DA7F74">
        <w:rPr>
          <w:b/>
          <w:bCs/>
        </w:rPr>
        <w:tab/>
      </w:r>
      <w:r w:rsidRPr="00DA7F74">
        <w:rPr>
          <w:b/>
          <w:bCs/>
        </w:rPr>
        <w:tab/>
      </w:r>
      <w:r w:rsidRPr="00DA7F74">
        <w:rPr>
          <w:b/>
          <w:bCs/>
        </w:rPr>
        <w:tab/>
      </w:r>
      <w:r w:rsidRPr="00DA7F74">
        <w:rPr>
          <w:b/>
          <w:bCs/>
        </w:rPr>
        <w:tab/>
      </w:r>
      <w:r w:rsidRPr="00DA7F74">
        <w:rPr>
          <w:rFonts w:ascii="Courier New" w:hAnsi="Courier New" w:cs="Courier New" w:hint="cs"/>
          <w:b/>
          <w:bCs/>
          <w:rtl/>
        </w:rPr>
        <w:t>אברהם</w:t>
      </w:r>
      <w:r w:rsidRPr="00DA7F74">
        <w:rPr>
          <w:b/>
          <w:bCs/>
          <w:rtl/>
        </w:rPr>
        <w:t xml:space="preserve"> </w:t>
      </w:r>
      <w:r w:rsidRPr="00DA7F74">
        <w:rPr>
          <w:rFonts w:ascii="Courier New" w:hAnsi="Courier New" w:cs="Courier New" w:hint="cs"/>
          <w:b/>
          <w:bCs/>
          <w:rtl/>
        </w:rPr>
        <w:t>מיכאלי</w:t>
      </w:r>
    </w:p>
    <w:p w:rsidR="00020D78" w:rsidRPr="0082596A" w:rsidRDefault="00020D78" w:rsidP="00020D78">
      <w:pPr>
        <w:pStyle w:val="David"/>
        <w:ind w:left="2880" w:firstLine="720"/>
      </w:pPr>
      <w:r w:rsidRPr="0082596A">
        <w:tab/>
      </w:r>
      <w:r w:rsidRPr="0082596A">
        <w:tab/>
      </w:r>
      <w:r w:rsidRPr="0082596A">
        <w:tab/>
      </w:r>
      <w:r w:rsidRPr="0082596A">
        <w:tab/>
      </w:r>
      <w:r w:rsidRPr="0082596A">
        <w:tab/>
      </w:r>
      <w:r w:rsidRPr="0082596A">
        <w:rPr>
          <w:rFonts w:ascii="Courier New" w:hAnsi="Courier New" w:cs="Courier New" w:hint="cs"/>
          <w:rtl/>
        </w:rPr>
        <w:t>איתן</w:t>
      </w:r>
      <w:r w:rsidRPr="0082596A">
        <w:rPr>
          <w:rtl/>
        </w:rPr>
        <w:t xml:space="preserve"> </w:t>
      </w:r>
      <w:r w:rsidRPr="0082596A">
        <w:rPr>
          <w:rFonts w:ascii="Courier New" w:hAnsi="Courier New" w:cs="Courier New" w:hint="cs"/>
          <w:rtl/>
        </w:rPr>
        <w:t>כבל</w:t>
      </w:r>
    </w:p>
    <w:p w:rsidR="00020D78" w:rsidRPr="00EA5EEE" w:rsidRDefault="00020D78" w:rsidP="00020D78">
      <w:pPr>
        <w:pStyle w:val="David"/>
        <w:ind w:left="2880" w:firstLine="720"/>
        <w:rPr>
          <w:b/>
          <w:bCs/>
        </w:rPr>
      </w:pPr>
      <w:r w:rsidRPr="0082596A">
        <w:tab/>
      </w:r>
      <w:r w:rsidRPr="0082596A">
        <w:tab/>
      </w:r>
      <w:r w:rsidRPr="0082596A">
        <w:tab/>
      </w:r>
      <w:r w:rsidRPr="0082596A">
        <w:tab/>
      </w:r>
      <w:r w:rsidRPr="0082596A">
        <w:tab/>
      </w:r>
      <w:r w:rsidRPr="0082596A">
        <w:rPr>
          <w:rFonts w:ascii="Courier New" w:hAnsi="Courier New" w:cs="Courier New" w:hint="cs"/>
          <w:rtl/>
        </w:rPr>
        <w:t>נסים</w:t>
      </w:r>
      <w:r w:rsidRPr="0082596A">
        <w:rPr>
          <w:rtl/>
        </w:rPr>
        <w:t xml:space="preserve"> </w:t>
      </w:r>
      <w:r w:rsidRPr="0082596A">
        <w:rPr>
          <w:rFonts w:ascii="Courier New" w:hAnsi="Courier New" w:cs="Courier New" w:hint="cs"/>
          <w:rtl/>
        </w:rPr>
        <w:t>זאב</w:t>
      </w:r>
      <w:bookmarkEnd w:id="2"/>
    </w:p>
    <w:p w:rsidR="00020D78" w:rsidRPr="00EB49CD" w:rsidRDefault="00020D78" w:rsidP="00020D78">
      <w:pPr>
        <w:ind w:left="2880" w:firstLine="720"/>
        <w:rPr>
          <w:rFonts w:cs="David"/>
          <w:sz w:val="26"/>
          <w:szCs w:val="26"/>
        </w:rPr>
      </w:pPr>
      <w:r>
        <w:rPr>
          <w:rFonts w:cs="David"/>
          <w:sz w:val="26"/>
          <w:szCs w:val="26"/>
        </w:rPr>
        <w:tab/>
      </w:r>
      <w:r>
        <w:rPr>
          <w:rFonts w:cs="David"/>
          <w:sz w:val="26"/>
          <w:szCs w:val="26"/>
        </w:rPr>
        <w:tab/>
      </w:r>
      <w:r>
        <w:rPr>
          <w:rFonts w:cs="David"/>
          <w:sz w:val="26"/>
          <w:szCs w:val="26"/>
        </w:rPr>
        <w:tab/>
      </w:r>
      <w:bookmarkStart w:id="3" w:name="MKs1"/>
      <w:r w:rsidRPr="00EB49CD">
        <w:rPr>
          <w:rFonts w:cs="David"/>
          <w:sz w:val="26"/>
          <w:szCs w:val="26"/>
        </w:rPr>
        <w:tab/>
      </w:r>
      <w:r w:rsidRPr="00EB49CD">
        <w:rPr>
          <w:rFonts w:cs="David"/>
          <w:sz w:val="26"/>
          <w:szCs w:val="26"/>
        </w:rPr>
        <w:tab/>
      </w:r>
      <w:r w:rsidRPr="00EB49CD">
        <w:rPr>
          <w:rFonts w:cs="David" w:hint="cs"/>
          <w:sz w:val="26"/>
          <w:szCs w:val="26"/>
          <w:rtl/>
        </w:rPr>
        <w:t>דב</w:t>
      </w:r>
      <w:r w:rsidRPr="00EB49CD">
        <w:rPr>
          <w:rFonts w:cs="David"/>
          <w:sz w:val="26"/>
          <w:szCs w:val="26"/>
          <w:rtl/>
        </w:rPr>
        <w:t xml:space="preserve"> </w:t>
      </w:r>
      <w:r w:rsidRPr="00EB49CD">
        <w:rPr>
          <w:rFonts w:cs="David" w:hint="cs"/>
          <w:sz w:val="26"/>
          <w:szCs w:val="26"/>
          <w:rtl/>
        </w:rPr>
        <w:t>חנין</w:t>
      </w:r>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מרינה</w:t>
      </w:r>
      <w:r w:rsidRPr="00EB49CD">
        <w:rPr>
          <w:rFonts w:cs="David"/>
          <w:sz w:val="26"/>
          <w:szCs w:val="26"/>
          <w:rtl/>
        </w:rPr>
        <w:t xml:space="preserve"> </w:t>
      </w:r>
      <w:r w:rsidRPr="00EB49CD">
        <w:rPr>
          <w:rFonts w:cs="David" w:hint="cs"/>
          <w:sz w:val="26"/>
          <w:szCs w:val="26"/>
          <w:rtl/>
        </w:rPr>
        <w:t>סולודקין</w:t>
      </w:r>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שי</w:t>
      </w:r>
      <w:r w:rsidRPr="00EB49CD">
        <w:rPr>
          <w:rFonts w:cs="David"/>
          <w:sz w:val="26"/>
          <w:szCs w:val="26"/>
          <w:rtl/>
        </w:rPr>
        <w:t xml:space="preserve"> </w:t>
      </w:r>
      <w:r w:rsidRPr="00EB49CD">
        <w:rPr>
          <w:rFonts w:cs="David" w:hint="cs"/>
          <w:sz w:val="26"/>
          <w:szCs w:val="26"/>
          <w:rtl/>
        </w:rPr>
        <w:t>חרמש</w:t>
      </w:r>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שלמה</w:t>
      </w:r>
      <w:r w:rsidRPr="00EB49CD">
        <w:rPr>
          <w:rFonts w:cs="David"/>
          <w:sz w:val="26"/>
          <w:szCs w:val="26"/>
          <w:rtl/>
        </w:rPr>
        <w:t xml:space="preserve"> </w:t>
      </w:r>
      <w:r w:rsidRPr="00EB49CD">
        <w:rPr>
          <w:rFonts w:cs="David" w:hint="cs"/>
          <w:sz w:val="26"/>
          <w:szCs w:val="26"/>
          <w:rtl/>
        </w:rPr>
        <w:t>מולה</w:t>
      </w:r>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גדעון</w:t>
      </w:r>
      <w:r w:rsidRPr="00EB49CD">
        <w:rPr>
          <w:rFonts w:cs="David"/>
          <w:sz w:val="26"/>
          <w:szCs w:val="26"/>
          <w:rtl/>
        </w:rPr>
        <w:t xml:space="preserve"> </w:t>
      </w:r>
      <w:r w:rsidRPr="00EB49CD">
        <w:rPr>
          <w:rFonts w:cs="David" w:hint="cs"/>
          <w:sz w:val="26"/>
          <w:szCs w:val="26"/>
          <w:rtl/>
        </w:rPr>
        <w:t>עזרא</w:t>
      </w:r>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אורית</w:t>
      </w:r>
      <w:r w:rsidRPr="00EB49CD">
        <w:rPr>
          <w:rFonts w:cs="David"/>
          <w:sz w:val="26"/>
          <w:szCs w:val="26"/>
          <w:rtl/>
        </w:rPr>
        <w:t xml:space="preserve"> </w:t>
      </w:r>
      <w:r w:rsidRPr="00EB49CD">
        <w:rPr>
          <w:rFonts w:cs="David" w:hint="cs"/>
          <w:sz w:val="26"/>
          <w:szCs w:val="26"/>
          <w:rtl/>
        </w:rPr>
        <w:t>זוארץ</w:t>
      </w:r>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רוברט</w:t>
      </w:r>
      <w:r w:rsidRPr="00EB49CD">
        <w:rPr>
          <w:rFonts w:cs="David"/>
          <w:sz w:val="26"/>
          <w:szCs w:val="26"/>
          <w:rtl/>
        </w:rPr>
        <w:t xml:space="preserve"> </w:t>
      </w:r>
      <w:proofErr w:type="spellStart"/>
      <w:r w:rsidRPr="00EB49CD">
        <w:rPr>
          <w:rFonts w:cs="David" w:hint="cs"/>
          <w:sz w:val="26"/>
          <w:szCs w:val="26"/>
          <w:rtl/>
        </w:rPr>
        <w:t>טיבייב</w:t>
      </w:r>
      <w:proofErr w:type="spellEnd"/>
    </w:p>
    <w:p w:rsidR="00020D78" w:rsidRPr="00EB49CD" w:rsidRDefault="00020D78" w:rsidP="00020D78">
      <w:pPr>
        <w:ind w:left="2880" w:firstLine="720"/>
        <w:rPr>
          <w:rFonts w:cs="David"/>
          <w:sz w:val="26"/>
          <w:szCs w:val="26"/>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יוליה</w:t>
      </w:r>
      <w:r w:rsidRPr="00EB49CD">
        <w:rPr>
          <w:rFonts w:cs="David"/>
          <w:sz w:val="26"/>
          <w:szCs w:val="26"/>
          <w:rtl/>
        </w:rPr>
        <w:t xml:space="preserve"> </w:t>
      </w:r>
      <w:proofErr w:type="spellStart"/>
      <w:r w:rsidRPr="00EB49CD">
        <w:rPr>
          <w:rFonts w:cs="David" w:hint="cs"/>
          <w:sz w:val="26"/>
          <w:szCs w:val="26"/>
          <w:rtl/>
        </w:rPr>
        <w:t>שמאלוב</w:t>
      </w:r>
      <w:proofErr w:type="spellEnd"/>
      <w:r w:rsidRPr="00EB49CD">
        <w:rPr>
          <w:rFonts w:cs="David"/>
          <w:sz w:val="26"/>
          <w:szCs w:val="26"/>
          <w:rtl/>
        </w:rPr>
        <w:t>-</w:t>
      </w:r>
      <w:proofErr w:type="spellStart"/>
      <w:r w:rsidRPr="00EB49CD">
        <w:rPr>
          <w:rFonts w:cs="David" w:hint="cs"/>
          <w:sz w:val="26"/>
          <w:szCs w:val="26"/>
          <w:rtl/>
        </w:rPr>
        <w:t>ברקוביץ</w:t>
      </w:r>
      <w:proofErr w:type="spellEnd"/>
    </w:p>
    <w:p w:rsidR="00020D78" w:rsidRDefault="00020D78" w:rsidP="00020D78">
      <w:pPr>
        <w:ind w:left="2880" w:firstLine="720"/>
        <w:rPr>
          <w:rFonts w:cs="David"/>
          <w:sz w:val="26"/>
          <w:szCs w:val="26"/>
          <w:rtl/>
        </w:rPr>
      </w:pP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sz w:val="26"/>
          <w:szCs w:val="26"/>
        </w:rPr>
        <w:tab/>
      </w:r>
      <w:r w:rsidRPr="00EB49CD">
        <w:rPr>
          <w:rFonts w:cs="David" w:hint="cs"/>
          <w:sz w:val="26"/>
          <w:szCs w:val="26"/>
          <w:rtl/>
        </w:rPr>
        <w:t>אנסטסיה</w:t>
      </w:r>
      <w:r w:rsidRPr="00EB49CD">
        <w:rPr>
          <w:rFonts w:cs="David"/>
          <w:sz w:val="26"/>
          <w:szCs w:val="26"/>
          <w:rtl/>
        </w:rPr>
        <w:t xml:space="preserve"> </w:t>
      </w:r>
      <w:r w:rsidRPr="00EB49CD">
        <w:rPr>
          <w:rFonts w:cs="David" w:hint="cs"/>
          <w:sz w:val="26"/>
          <w:szCs w:val="26"/>
          <w:rtl/>
        </w:rPr>
        <w:t>מיכאלי</w:t>
      </w:r>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020D78" w:rsidRDefault="00020D78" w:rsidP="00020D78">
      <w:pPr>
        <w:ind w:left="2919" w:firstLine="720"/>
        <w:rPr>
          <w:rFonts w:cs="David"/>
          <w:sz w:val="26"/>
          <w:szCs w:val="26"/>
          <w:rtl/>
        </w:rPr>
      </w:pPr>
      <w:r>
        <w:rPr>
          <w:noProof/>
          <w:lang w:eastAsia="en-US"/>
        </w:rPr>
        <w:pict>
          <v:line id="_x0000_s1026" style="position:absolute;left:0;text-align:left;z-index:251660288"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sidRPr="00992A93">
        <w:rPr>
          <w:rFonts w:cs="David" w:hint="cs"/>
          <w:sz w:val="26"/>
          <w:szCs w:val="26"/>
          <w:rtl/>
        </w:rPr>
        <w:t>פ</w:t>
      </w:r>
      <w:r w:rsidRPr="00992A93">
        <w:rPr>
          <w:rFonts w:cs="David"/>
          <w:sz w:val="26"/>
          <w:szCs w:val="26"/>
          <w:rtl/>
        </w:rPr>
        <w:t>/2012/18</w:t>
      </w:r>
      <w:bookmarkEnd w:id="4"/>
      <w:r>
        <w:rPr>
          <w:rFonts w:cs="David"/>
          <w:sz w:val="26"/>
          <w:szCs w:val="26"/>
          <w:rtl/>
        </w:rPr>
        <w:tab/>
      </w:r>
      <w:r>
        <w:rPr>
          <w:rFonts w:cs="David"/>
          <w:sz w:val="26"/>
          <w:szCs w:val="26"/>
          <w:rtl/>
        </w:rPr>
        <w:tab/>
      </w:r>
      <w:r>
        <w:rPr>
          <w:rFonts w:cs="David"/>
          <w:sz w:val="26"/>
          <w:szCs w:val="26"/>
          <w:rtl/>
        </w:rPr>
        <w:tab/>
      </w:r>
    </w:p>
    <w:p w:rsidR="00020D78" w:rsidRDefault="00020D78" w:rsidP="00020D78">
      <w:pPr>
        <w:pStyle w:val="HeadHatzaotHok"/>
        <w:tabs>
          <w:tab w:val="left" w:pos="4071"/>
          <w:tab w:val="center" w:pos="4819"/>
        </w:tabs>
        <w:spacing w:before="0"/>
        <w:rPr>
          <w:sz w:val="26"/>
          <w:rtl/>
        </w:rPr>
      </w:pPr>
      <w:bookmarkStart w:id="5" w:name="Title"/>
      <w:r w:rsidRPr="006638A7">
        <w:rPr>
          <w:sz w:val="26"/>
          <w:rtl/>
        </w:rPr>
        <w:t xml:space="preserve">הצעת חוק לתיקון פקודת העיתונות (תנאים למתן רישיון </w:t>
      </w:r>
      <w:r>
        <w:rPr>
          <w:sz w:val="26"/>
          <w:rtl/>
        </w:rPr>
        <w:t>–</w:t>
      </w:r>
      <w:r w:rsidRPr="006638A7">
        <w:rPr>
          <w:sz w:val="26"/>
          <w:rtl/>
        </w:rPr>
        <w:t xml:space="preserve"> זיקה לישראל), </w:t>
      </w:r>
      <w:proofErr w:type="spellStart"/>
      <w:r w:rsidRPr="006638A7">
        <w:rPr>
          <w:sz w:val="26"/>
          <w:rtl/>
        </w:rPr>
        <w:t>התש"ע</w:t>
      </w:r>
      <w:r>
        <w:rPr>
          <w:sz w:val="26"/>
          <w:rtl/>
        </w:rPr>
        <w:t>–</w:t>
      </w:r>
      <w:r w:rsidRPr="006638A7">
        <w:rPr>
          <w:sz w:val="26"/>
          <w:rtl/>
        </w:rPr>
        <w:t>2010</w:t>
      </w:r>
      <w:bookmarkEnd w:id="5"/>
      <w:proofErr w:type="spellEnd"/>
    </w:p>
    <w:p w:rsidR="00020D78" w:rsidRDefault="00020D78" w:rsidP="00020D78">
      <w:pPr>
        <w:pStyle w:val="HeadHatzaotHok"/>
        <w:tabs>
          <w:tab w:val="left" w:pos="4071"/>
          <w:tab w:val="center" w:pos="4819"/>
        </w:tabs>
        <w:spacing w:before="0"/>
        <w:rPr>
          <w:sz w:val="26"/>
          <w:rtl/>
        </w:rPr>
      </w:pPr>
    </w:p>
    <w:tbl>
      <w:tblPr>
        <w:bidiVisual/>
        <w:tblW w:w="9638" w:type="dxa"/>
        <w:tblLayout w:type="fixed"/>
        <w:tblLook w:val="01E0"/>
      </w:tblPr>
      <w:tblGrid>
        <w:gridCol w:w="1869"/>
        <w:gridCol w:w="624"/>
        <w:gridCol w:w="624"/>
        <w:gridCol w:w="624"/>
        <w:gridCol w:w="624"/>
        <w:gridCol w:w="624"/>
        <w:gridCol w:w="4649"/>
      </w:tblGrid>
      <w:tr w:rsidR="00020D78" w:rsidTr="006F65EB">
        <w:tc>
          <w:tcPr>
            <w:tcW w:w="1869" w:type="dxa"/>
          </w:tcPr>
          <w:p w:rsidR="00020D78" w:rsidRDefault="00020D78" w:rsidP="006F65EB">
            <w:pPr>
              <w:pStyle w:val="TableSideHeading"/>
              <w:rPr>
                <w:sz w:val="26"/>
                <w:rtl/>
              </w:rPr>
            </w:pPr>
            <w:r>
              <w:rPr>
                <w:sz w:val="26"/>
                <w:rtl/>
              </w:rPr>
              <w:t>תיקון סעיף 2</w:t>
            </w:r>
          </w:p>
        </w:tc>
        <w:tc>
          <w:tcPr>
            <w:tcW w:w="624" w:type="dxa"/>
          </w:tcPr>
          <w:p w:rsidR="00020D78" w:rsidRDefault="00020D78" w:rsidP="006F65EB">
            <w:pPr>
              <w:pStyle w:val="TableText"/>
              <w:rPr>
                <w:rtl/>
              </w:rPr>
            </w:pPr>
            <w:r>
              <w:rPr>
                <w:rtl/>
              </w:rPr>
              <w:t>1.</w:t>
            </w:r>
          </w:p>
        </w:tc>
        <w:tc>
          <w:tcPr>
            <w:tcW w:w="7145" w:type="dxa"/>
            <w:gridSpan w:val="5"/>
          </w:tcPr>
          <w:p w:rsidR="00020D78" w:rsidRDefault="00020D78" w:rsidP="006F65EB">
            <w:pPr>
              <w:pStyle w:val="TableBlock"/>
              <w:rPr>
                <w:sz w:val="26"/>
                <w:rtl/>
              </w:rPr>
            </w:pPr>
            <w:r>
              <w:rPr>
                <w:sz w:val="26"/>
                <w:rtl/>
              </w:rPr>
              <w:t>ב</w:t>
            </w:r>
            <w:r w:rsidRPr="002B28E3">
              <w:rPr>
                <w:sz w:val="26"/>
                <w:rtl/>
              </w:rPr>
              <w:t>פקודת העיתונות</w:t>
            </w:r>
            <w:r w:rsidRPr="002B28E3">
              <w:rPr>
                <w:rStyle w:val="a5"/>
                <w:rFonts w:cs="David"/>
                <w:sz w:val="26"/>
                <w:rtl/>
              </w:rPr>
              <w:footnoteReference w:id="1"/>
            </w:r>
            <w:r>
              <w:rPr>
                <w:sz w:val="26"/>
                <w:rtl/>
              </w:rPr>
              <w:t xml:space="preserve"> (להלן – הפקודה),</w:t>
            </w:r>
            <w:r w:rsidRPr="002B28E3">
              <w:rPr>
                <w:sz w:val="26"/>
                <w:rtl/>
              </w:rPr>
              <w:t xml:space="preserve"> </w:t>
            </w:r>
            <w:r>
              <w:rPr>
                <w:sz w:val="26"/>
                <w:rtl/>
              </w:rPr>
              <w:t>בסעיף 2, אחרי ההגדרה "דיבת הסתה" יבוא:</w:t>
            </w:r>
          </w:p>
        </w:tc>
      </w:tr>
      <w:tr w:rsidR="00020D78" w:rsidTr="006F65EB">
        <w:tc>
          <w:tcPr>
            <w:tcW w:w="1869" w:type="dxa"/>
          </w:tcPr>
          <w:p w:rsidR="00020D78"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375365" w:rsidRDefault="00020D78" w:rsidP="006F65EB">
            <w:pPr>
              <w:pStyle w:val="TableBlockOutdent"/>
              <w:rPr>
                <w:rtl/>
              </w:rPr>
            </w:pPr>
            <w:r w:rsidRPr="00375365">
              <w:rPr>
                <w:rtl/>
              </w:rPr>
              <w:t xml:space="preserve">""אזרח ישראלי" – כמשמעותו בחוק האזרחות, </w:t>
            </w:r>
            <w:proofErr w:type="spellStart"/>
            <w:r w:rsidRPr="00375365">
              <w:rPr>
                <w:rtl/>
              </w:rPr>
              <w:t>התשי"ב–1952</w:t>
            </w:r>
            <w:proofErr w:type="spellEnd"/>
            <w:r w:rsidRPr="001F23D3">
              <w:rPr>
                <w:szCs w:val="20"/>
                <w:rtl/>
              </w:rPr>
              <w:footnoteReference w:id="2"/>
            </w:r>
            <w:r w:rsidRPr="00375365">
              <w:rPr>
                <w:rtl/>
              </w:rPr>
              <w:t>;</w:t>
            </w:r>
          </w:p>
        </w:tc>
      </w:tr>
      <w:tr w:rsidR="00020D78" w:rsidTr="006F65EB">
        <w:tc>
          <w:tcPr>
            <w:tcW w:w="1869" w:type="dxa"/>
          </w:tcPr>
          <w:p w:rsidR="00020D78"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375365" w:rsidRDefault="00020D78" w:rsidP="006F65EB">
            <w:pPr>
              <w:pStyle w:val="TableBlockOutdent"/>
              <w:rPr>
                <w:rtl/>
              </w:rPr>
            </w:pPr>
            <w:r w:rsidRPr="00375365">
              <w:rPr>
                <w:rtl/>
              </w:rPr>
              <w:t xml:space="preserve">"שליטה" – כהגדרתה בחוק ניירות ערך, </w:t>
            </w:r>
            <w:proofErr w:type="spellStart"/>
            <w:r w:rsidRPr="00375365">
              <w:rPr>
                <w:rtl/>
              </w:rPr>
              <w:t>התשכ"ח–1968</w:t>
            </w:r>
            <w:proofErr w:type="spellEnd"/>
            <w:r w:rsidRPr="001F23D3">
              <w:rPr>
                <w:szCs w:val="20"/>
                <w:rtl/>
              </w:rPr>
              <w:footnoteReference w:id="3"/>
            </w:r>
            <w:r w:rsidRPr="00375365">
              <w:rPr>
                <w:rtl/>
              </w:rPr>
              <w:t>;</w:t>
            </w:r>
          </w:p>
        </w:tc>
      </w:tr>
      <w:tr w:rsidR="00020D78" w:rsidTr="006F65EB">
        <w:tc>
          <w:tcPr>
            <w:tcW w:w="1869" w:type="dxa"/>
          </w:tcPr>
          <w:p w:rsidR="00020D78"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375365" w:rsidRDefault="00020D78" w:rsidP="006F65EB">
            <w:pPr>
              <w:pStyle w:val="TableBlockOutdent"/>
              <w:rPr>
                <w:rtl/>
              </w:rPr>
            </w:pPr>
            <w:r w:rsidRPr="00375365">
              <w:rPr>
                <w:rtl/>
              </w:rPr>
              <w:t xml:space="preserve">"תושב" – כהגדרתו בחוק מרשם האוכלוסין, </w:t>
            </w:r>
            <w:proofErr w:type="spellStart"/>
            <w:r w:rsidRPr="00375365">
              <w:rPr>
                <w:rtl/>
              </w:rPr>
              <w:t>התשכ"ה–1965</w:t>
            </w:r>
            <w:proofErr w:type="spellEnd"/>
            <w:r w:rsidRPr="001F23D3">
              <w:rPr>
                <w:szCs w:val="20"/>
                <w:rtl/>
              </w:rPr>
              <w:footnoteReference w:id="4"/>
            </w:r>
            <w:r w:rsidRPr="00375365">
              <w:rPr>
                <w:rtl/>
              </w:rPr>
              <w:t>;</w:t>
            </w:r>
          </w:p>
        </w:tc>
      </w:tr>
      <w:tr w:rsidR="00020D78" w:rsidTr="006F65EB">
        <w:tc>
          <w:tcPr>
            <w:tcW w:w="1869" w:type="dxa"/>
          </w:tcPr>
          <w:p w:rsidR="00020D78"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375365" w:rsidRDefault="00020D78" w:rsidP="006F65EB">
            <w:pPr>
              <w:pStyle w:val="TableBlockOutdent"/>
              <w:rPr>
                <w:rtl/>
              </w:rPr>
            </w:pPr>
            <w:r w:rsidRPr="00375365">
              <w:rPr>
                <w:rtl/>
              </w:rPr>
              <w:t xml:space="preserve">"תושב קבע בישראל" – מי שהוא בעל רישיון לישיבת קבע בישראל לפי חוק הכניסה לישראל, </w:t>
            </w:r>
            <w:proofErr w:type="spellStart"/>
            <w:r w:rsidRPr="00375365">
              <w:rPr>
                <w:rtl/>
              </w:rPr>
              <w:t>התשי"ב–1952</w:t>
            </w:r>
            <w:proofErr w:type="spellEnd"/>
            <w:r w:rsidRPr="001F23D3">
              <w:rPr>
                <w:szCs w:val="20"/>
                <w:rtl/>
              </w:rPr>
              <w:footnoteReference w:id="5"/>
            </w:r>
            <w:r w:rsidRPr="00375365">
              <w:rPr>
                <w:rtl/>
              </w:rPr>
              <w:t>;</w:t>
            </w:r>
          </w:p>
        </w:tc>
      </w:tr>
      <w:tr w:rsidR="00020D78" w:rsidTr="006F65EB">
        <w:tc>
          <w:tcPr>
            <w:tcW w:w="1869" w:type="dxa"/>
          </w:tcPr>
          <w:p w:rsidR="00020D78"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375365" w:rsidRDefault="00020D78" w:rsidP="006F65EB">
            <w:pPr>
              <w:pStyle w:val="TableBlockOutdent"/>
              <w:rPr>
                <w:rtl/>
              </w:rPr>
            </w:pPr>
            <w:r w:rsidRPr="00375365">
              <w:rPr>
                <w:rtl/>
              </w:rPr>
              <w:t>"אמצעי שליטה בתאגיד" – כל אחד מאלה:</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Block"/>
            </w:pPr>
            <w:r>
              <w:rPr>
                <w:rtl/>
              </w:rPr>
              <w:t>(1)</w:t>
            </w:r>
            <w:r>
              <w:rPr>
                <w:rtl/>
              </w:rPr>
              <w:tab/>
            </w:r>
            <w:r w:rsidRPr="002B28E3">
              <w:rPr>
                <w:rtl/>
              </w:rPr>
              <w:t xml:space="preserve">זכות הצבעה באסיפה כללית של חברה או בגוף מקביל </w:t>
            </w:r>
            <w:r>
              <w:rPr>
                <w:rtl/>
              </w:rPr>
              <w:t xml:space="preserve">לה </w:t>
            </w:r>
            <w:r w:rsidRPr="002B28E3">
              <w:rPr>
                <w:rtl/>
              </w:rPr>
              <w:t>של תאגיד אחר;</w:t>
            </w:r>
          </w:p>
        </w:tc>
      </w:tr>
      <w:tr w:rsidR="00020D78" w:rsidTr="006F65EB">
        <w:trPr>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Text"/>
            </w:pPr>
            <w:r>
              <w:rPr>
                <w:rtl/>
              </w:rPr>
              <w:t>(2)</w:t>
            </w:r>
            <w:r>
              <w:rPr>
                <w:rtl/>
              </w:rPr>
              <w:tab/>
            </w:r>
            <w:r w:rsidRPr="002B28E3">
              <w:rPr>
                <w:rtl/>
              </w:rPr>
              <w:t xml:space="preserve">הזכות למנות דירקטור או מנהל כללי, ובתאגיד שאינו חברה </w:t>
            </w:r>
            <w:r>
              <w:rPr>
                <w:rtl/>
              </w:rPr>
              <w:t>–</w:t>
            </w:r>
            <w:r w:rsidRPr="002B28E3">
              <w:rPr>
                <w:rtl/>
              </w:rPr>
              <w:t xml:space="preserve"> בעלי תפקידים דומים;</w:t>
            </w:r>
          </w:p>
        </w:tc>
      </w:tr>
      <w:tr w:rsidR="00020D78" w:rsidTr="006F65EB">
        <w:trPr>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Text"/>
            </w:pPr>
            <w:r>
              <w:rPr>
                <w:rtl/>
              </w:rPr>
              <w:t>(3)</w:t>
            </w:r>
            <w:r>
              <w:rPr>
                <w:rtl/>
              </w:rPr>
              <w:tab/>
            </w:r>
            <w:r w:rsidRPr="002B28E3">
              <w:rPr>
                <w:rtl/>
              </w:rPr>
              <w:t>הזכות להשתתף ברווחי התאגיד;</w:t>
            </w:r>
          </w:p>
        </w:tc>
      </w:tr>
      <w:tr w:rsidR="00020D78" w:rsidTr="006F65EB">
        <w:trPr>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Text"/>
            </w:pPr>
            <w:r>
              <w:rPr>
                <w:rtl/>
              </w:rPr>
              <w:t>(4)</w:t>
            </w:r>
            <w:r>
              <w:rPr>
                <w:rtl/>
              </w:rPr>
              <w:tab/>
            </w:r>
            <w:r w:rsidRPr="002B28E3">
              <w:rPr>
                <w:rtl/>
              </w:rPr>
              <w:t>הזכות לחלק ביתרת נכסי התאגיד לאחר סילוק חובותיו</w:t>
            </w:r>
            <w:r>
              <w:rPr>
                <w:rtl/>
              </w:rPr>
              <w:t>,</w:t>
            </w:r>
            <w:r w:rsidRPr="002B28E3">
              <w:rPr>
                <w:rtl/>
              </w:rPr>
              <w:t xml:space="preserve"> בעת פירוקו</w:t>
            </w:r>
            <w:r>
              <w:rPr>
                <w:rtl/>
              </w:rPr>
              <w:t>."</w:t>
            </w:r>
          </w:p>
        </w:tc>
      </w:tr>
      <w:tr w:rsidR="00020D78" w:rsidTr="006F65EB">
        <w:tblPrEx>
          <w:tblCellMar>
            <w:top w:w="57" w:type="dxa"/>
            <w:left w:w="0" w:type="dxa"/>
            <w:bottom w:w="57" w:type="dxa"/>
            <w:right w:w="0" w:type="dxa"/>
          </w:tblCellMar>
        </w:tblPrEx>
        <w:trPr>
          <w:cantSplit/>
        </w:trPr>
        <w:tc>
          <w:tcPr>
            <w:tcW w:w="1869" w:type="dxa"/>
          </w:tcPr>
          <w:p w:rsidR="00020D78" w:rsidRDefault="00020D78" w:rsidP="006F65EB">
            <w:pPr>
              <w:pStyle w:val="TableSideHeading"/>
              <w:rPr>
                <w:rtl/>
              </w:rPr>
            </w:pPr>
            <w:r>
              <w:rPr>
                <w:sz w:val="26"/>
                <w:rtl/>
              </w:rPr>
              <w:t>תיקון סעיף 5</w:t>
            </w:r>
          </w:p>
        </w:tc>
        <w:tc>
          <w:tcPr>
            <w:tcW w:w="624" w:type="dxa"/>
          </w:tcPr>
          <w:p w:rsidR="00020D78" w:rsidRDefault="00020D78" w:rsidP="006F65EB">
            <w:pPr>
              <w:pStyle w:val="TableText"/>
              <w:rPr>
                <w:rtl/>
              </w:rPr>
            </w:pPr>
            <w:r>
              <w:rPr>
                <w:rtl/>
              </w:rPr>
              <w:t>2.</w:t>
            </w:r>
          </w:p>
        </w:tc>
        <w:tc>
          <w:tcPr>
            <w:tcW w:w="7145" w:type="dxa"/>
            <w:gridSpan w:val="5"/>
          </w:tcPr>
          <w:p w:rsidR="00020D78" w:rsidRDefault="00020D78" w:rsidP="006F65EB">
            <w:pPr>
              <w:pStyle w:val="TableBlock"/>
              <w:rPr>
                <w:rtl/>
              </w:rPr>
            </w:pPr>
            <w:r>
              <w:rPr>
                <w:sz w:val="26"/>
                <w:rtl/>
              </w:rPr>
              <w:t xml:space="preserve">בסעיף 5(1) – </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7145" w:type="dxa"/>
            <w:gridSpan w:val="5"/>
          </w:tcPr>
          <w:p w:rsidR="00020D78" w:rsidRPr="00C34DE2" w:rsidRDefault="00020D78" w:rsidP="006F65EB">
            <w:pPr>
              <w:pStyle w:val="TableBlock"/>
            </w:pPr>
            <w:r>
              <w:rPr>
                <w:sz w:val="26"/>
                <w:rtl/>
              </w:rPr>
              <w:t>(1)</w:t>
            </w:r>
            <w:r>
              <w:rPr>
                <w:sz w:val="26"/>
                <w:rtl/>
              </w:rPr>
              <w:tab/>
              <w:t>בפסקה (א) –</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Block"/>
            </w:pPr>
            <w:r>
              <w:rPr>
                <w:rtl/>
              </w:rPr>
              <w:t>(א)</w:t>
            </w:r>
            <w:r>
              <w:rPr>
                <w:rtl/>
              </w:rPr>
              <w:tab/>
            </w:r>
            <w:r>
              <w:rPr>
                <w:sz w:val="26"/>
                <w:rtl/>
              </w:rPr>
              <w:t xml:space="preserve">בפריט </w:t>
            </w:r>
            <w:r w:rsidRPr="008B00F6">
              <w:rPr>
                <w:sz w:val="26"/>
                <w:rtl/>
              </w:rPr>
              <w:t>(</w:t>
            </w:r>
            <w:r>
              <w:t>XI</w:t>
            </w:r>
            <w:r w:rsidRPr="008B00F6">
              <w:rPr>
                <w:sz w:val="26"/>
                <w:rtl/>
              </w:rPr>
              <w:t>)</w:t>
            </w:r>
            <w:r>
              <w:rPr>
                <w:sz w:val="26"/>
                <w:rtl/>
              </w:rPr>
              <w:t xml:space="preserve">, המילים "(למעט חברה נכרית)" </w:t>
            </w:r>
            <w:r>
              <w:rPr>
                <w:rtl/>
              </w:rPr>
              <w:t xml:space="preserve">וכן </w:t>
            </w:r>
            <w:r>
              <w:rPr>
                <w:sz w:val="26"/>
                <w:rtl/>
              </w:rPr>
              <w:t>המילים "אם היה המבקש חברה נכרית תימסר ההצהרה ע"י מי שמורשה לשמש כבא כוחה בישראל" – יימחקו.</w:t>
            </w:r>
          </w:p>
        </w:tc>
      </w:tr>
      <w:tr w:rsidR="00020D78" w:rsidTr="006F65EB">
        <w:trPr>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Block"/>
              <w:rPr>
                <w:rtl/>
              </w:rPr>
            </w:pPr>
            <w:r>
              <w:rPr>
                <w:rtl/>
              </w:rPr>
              <w:t>(ב)</w:t>
            </w:r>
            <w:r>
              <w:rPr>
                <w:rtl/>
              </w:rPr>
              <w:tab/>
            </w:r>
            <w:r>
              <w:rPr>
                <w:sz w:val="26"/>
                <w:rtl/>
              </w:rPr>
              <w:t xml:space="preserve">אחרי פריט </w:t>
            </w:r>
            <w:r w:rsidRPr="008B00F6">
              <w:rPr>
                <w:sz w:val="26"/>
                <w:rtl/>
              </w:rPr>
              <w:t>(</w:t>
            </w:r>
            <w:r>
              <w:t>XI</w:t>
            </w:r>
            <w:r w:rsidRPr="008B00F6">
              <w:rPr>
                <w:sz w:val="26"/>
                <w:rtl/>
              </w:rPr>
              <w:t>)</w:t>
            </w:r>
            <w:r w:rsidRPr="002B28E3">
              <w:rPr>
                <w:sz w:val="26"/>
                <w:rtl/>
              </w:rPr>
              <w:t xml:space="preserve"> יבוא:</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5897" w:type="dxa"/>
            <w:gridSpan w:val="3"/>
          </w:tcPr>
          <w:p w:rsidR="00020D78" w:rsidRDefault="00020D78" w:rsidP="006F65EB">
            <w:pPr>
              <w:pStyle w:val="TableBlock"/>
            </w:pPr>
            <w:r w:rsidRPr="008B00F6">
              <w:rPr>
                <w:rtl/>
              </w:rPr>
              <w:t>"(</w:t>
            </w:r>
            <w:r>
              <w:t>XII</w:t>
            </w:r>
            <w:r w:rsidRPr="008B00F6">
              <w:rPr>
                <w:rtl/>
              </w:rPr>
              <w:t>)</w:t>
            </w:r>
            <w:r w:rsidRPr="00DA7F74">
              <w:rPr>
                <w:rtl/>
              </w:rPr>
              <w:t xml:space="preserve">  שמלוא המימון לפעילות העיתון</w:t>
            </w:r>
            <w:r>
              <w:rPr>
                <w:rtl/>
              </w:rPr>
              <w:t>, במישרין או</w:t>
            </w:r>
            <w:r w:rsidRPr="00DA7F74">
              <w:rPr>
                <w:rtl/>
              </w:rPr>
              <w:t xml:space="preserve"> בעקיפין, </w:t>
            </w:r>
            <w:r>
              <w:rPr>
                <w:rtl/>
              </w:rPr>
              <w:t xml:space="preserve">יינתן על ידי </w:t>
            </w:r>
            <w:r w:rsidRPr="00DA7F74">
              <w:rPr>
                <w:rtl/>
              </w:rPr>
              <w:t>מי שמתקי</w:t>
            </w:r>
            <w:r>
              <w:rPr>
                <w:rtl/>
              </w:rPr>
              <w:t>ימים בו התנאים לקבלת רישיון בהתאם להוראות סעיף 5א; לעניין זה, יראו מימון שנתן אזרח ישראל ותושב בה שהוא קרוב של אדם שאינו אזרח ותושב כאמור המחזיק, במישרין או בעקיפין, באמצעי שליטה בעיתון, וכן במימון שהעניק תאגיד רשום בישראל שבעל השליטה בו הוא קרוב של אדם שאינו אזרח ישראל ותושב בה המחזיק, במישרין או בעקיפין, באמצעי שליטה בעיתון או בתאגיד – כמימון שניתן על ידי מי שלא מתקיימים בו התנאים האמורים בסעיף 5א; בפריט זה –</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5897" w:type="dxa"/>
            <w:gridSpan w:val="3"/>
          </w:tcPr>
          <w:p w:rsidR="00020D78" w:rsidRPr="003F1688" w:rsidRDefault="00020D78" w:rsidP="006F65EB">
            <w:pPr>
              <w:pStyle w:val="TableBlockOutdent"/>
              <w:rPr>
                <w:rtl/>
              </w:rPr>
            </w:pPr>
            <w:r w:rsidRPr="003F1688">
              <w:rPr>
                <w:rtl/>
              </w:rPr>
              <w:t>"מימון" – לרבות מימון בכסף או בשווה כסף, מתן בטוחות, ערבויות או אשראי;</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5897" w:type="dxa"/>
            <w:gridSpan w:val="3"/>
          </w:tcPr>
          <w:p w:rsidR="00020D78" w:rsidRPr="003F1688" w:rsidRDefault="00020D78" w:rsidP="006F65EB">
            <w:pPr>
              <w:pStyle w:val="TableBlockOutdent"/>
              <w:rPr>
                <w:rtl/>
              </w:rPr>
            </w:pPr>
            <w:r w:rsidRPr="003F1688">
              <w:rPr>
                <w:rtl/>
              </w:rPr>
              <w:t xml:space="preserve">"קרוב" – כהגדרתו בחוק החברות, </w:t>
            </w:r>
            <w:proofErr w:type="spellStart"/>
            <w:r w:rsidRPr="003F1688">
              <w:rPr>
                <w:rtl/>
              </w:rPr>
              <w:t>התשנ"ט–1999</w:t>
            </w:r>
            <w:proofErr w:type="spellEnd"/>
            <w:r w:rsidRPr="001F23D3">
              <w:rPr>
                <w:szCs w:val="20"/>
                <w:rtl/>
              </w:rPr>
              <w:footnoteReference w:id="6"/>
            </w:r>
            <w:r w:rsidRPr="003F1688">
              <w:rPr>
                <w:rtl/>
              </w:rPr>
              <w:t>.";</w:t>
            </w:r>
          </w:p>
        </w:tc>
      </w:tr>
      <w:tr w:rsidR="00020D78" w:rsidTr="006F65EB">
        <w:tblPrEx>
          <w:tblCellMar>
            <w:top w:w="57" w:type="dxa"/>
            <w:left w:w="0" w:type="dxa"/>
            <w:bottom w:w="57" w:type="dxa"/>
            <w:right w:w="0" w:type="dxa"/>
          </w:tblCellMar>
        </w:tblPrEx>
        <w:trPr>
          <w:cantSplit/>
        </w:trPr>
        <w:tc>
          <w:tcPr>
            <w:tcW w:w="1869" w:type="dxa"/>
          </w:tcPr>
          <w:p w:rsidR="00020D78"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8B00F6" w:rsidRDefault="00020D78" w:rsidP="006F65EB">
            <w:pPr>
              <w:pStyle w:val="TableBlock"/>
              <w:rPr>
                <w:rtl/>
              </w:rPr>
            </w:pPr>
            <w:r w:rsidRPr="008B00F6">
              <w:rPr>
                <w:rtl/>
              </w:rPr>
              <w:t>(2)</w:t>
            </w:r>
            <w:r w:rsidRPr="008B00F6">
              <w:rPr>
                <w:rtl/>
              </w:rPr>
              <w:tab/>
            </w:r>
            <w:r w:rsidRPr="008B00F6">
              <w:rPr>
                <w:sz w:val="26"/>
                <w:rtl/>
              </w:rPr>
              <w:t xml:space="preserve">בפסקה (ב), במקום פריט </w:t>
            </w:r>
            <w:r w:rsidRPr="00613CE1">
              <w:rPr>
                <w:rtl/>
              </w:rPr>
              <w:t>(</w:t>
            </w:r>
            <w:r w:rsidRPr="00613CE1">
              <w:t>I</w:t>
            </w:r>
            <w:r w:rsidRPr="00613CE1">
              <w:rPr>
                <w:rtl/>
              </w:rPr>
              <w:t>)</w:t>
            </w:r>
            <w:r>
              <w:rPr>
                <w:rtl/>
              </w:rPr>
              <w:t xml:space="preserve"> </w:t>
            </w:r>
            <w:r w:rsidRPr="008B00F6">
              <w:rPr>
                <w:sz w:val="26"/>
                <w:rtl/>
              </w:rPr>
              <w:t xml:space="preserve">יבוא: </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Pr="008B00F6" w:rsidRDefault="00020D78" w:rsidP="006F65EB">
            <w:pPr>
              <w:pStyle w:val="TableText"/>
            </w:pPr>
          </w:p>
        </w:tc>
        <w:tc>
          <w:tcPr>
            <w:tcW w:w="6521" w:type="dxa"/>
            <w:gridSpan w:val="4"/>
          </w:tcPr>
          <w:p w:rsidR="00020D78" w:rsidRPr="008B00F6" w:rsidRDefault="00020D78" w:rsidP="006F65EB">
            <w:pPr>
              <w:pStyle w:val="TableBlock"/>
            </w:pPr>
            <w:r w:rsidRPr="008B00F6">
              <w:rPr>
                <w:rtl/>
              </w:rPr>
              <w:t>"</w:t>
            </w:r>
            <w:r w:rsidRPr="00613CE1">
              <w:rPr>
                <w:rtl/>
              </w:rPr>
              <w:t>(</w:t>
            </w:r>
            <w:r w:rsidRPr="00613CE1">
              <w:t>I</w:t>
            </w:r>
            <w:r w:rsidRPr="00613CE1">
              <w:rPr>
                <w:rtl/>
              </w:rPr>
              <w:t>)</w:t>
            </w:r>
            <w:r w:rsidRPr="008B00F6">
              <w:rPr>
                <w:sz w:val="26"/>
                <w:rtl/>
              </w:rPr>
              <w:tab/>
              <w:t>הוא אזרח ישראלי ותושב ישראל, ומסר את כתובתו, מקום מגוריו וכתובת הדואר שלו.</w:t>
            </w:r>
            <w:r w:rsidRPr="008B00F6">
              <w:rPr>
                <w:rtl/>
              </w:rPr>
              <w:t>"</w:t>
            </w:r>
          </w:p>
        </w:tc>
      </w:tr>
      <w:tr w:rsidR="00020D78" w:rsidRPr="0098404A" w:rsidTr="006F65EB">
        <w:tblPrEx>
          <w:tblCellMar>
            <w:top w:w="57" w:type="dxa"/>
            <w:left w:w="0" w:type="dxa"/>
            <w:bottom w:w="57" w:type="dxa"/>
            <w:right w:w="0" w:type="dxa"/>
          </w:tblCellMar>
        </w:tblPrEx>
        <w:trPr>
          <w:cantSplit/>
        </w:trPr>
        <w:tc>
          <w:tcPr>
            <w:tcW w:w="1869" w:type="dxa"/>
          </w:tcPr>
          <w:p w:rsidR="00020D78" w:rsidRDefault="00020D78" w:rsidP="006F65EB">
            <w:pPr>
              <w:pStyle w:val="TableSideHeading"/>
            </w:pPr>
            <w:r w:rsidRPr="002B28E3">
              <w:rPr>
                <w:sz w:val="26"/>
                <w:rtl/>
              </w:rPr>
              <w:t>הוספת סעיף 5א</w:t>
            </w:r>
          </w:p>
        </w:tc>
        <w:tc>
          <w:tcPr>
            <w:tcW w:w="624" w:type="dxa"/>
          </w:tcPr>
          <w:p w:rsidR="00020D78" w:rsidRDefault="00020D78" w:rsidP="006F65EB">
            <w:pPr>
              <w:pStyle w:val="TableText"/>
            </w:pPr>
            <w:r>
              <w:rPr>
                <w:rtl/>
              </w:rPr>
              <w:t>3.</w:t>
            </w:r>
          </w:p>
        </w:tc>
        <w:tc>
          <w:tcPr>
            <w:tcW w:w="7145" w:type="dxa"/>
            <w:gridSpan w:val="5"/>
          </w:tcPr>
          <w:p w:rsidR="00020D78" w:rsidRPr="0098404A" w:rsidRDefault="00020D78" w:rsidP="006F65EB">
            <w:pPr>
              <w:pStyle w:val="TableBlock"/>
            </w:pPr>
            <w:r w:rsidRPr="002B28E3">
              <w:rPr>
                <w:sz w:val="26"/>
                <w:rtl/>
              </w:rPr>
              <w:t>אחרי סעיף 5 יבוא</w:t>
            </w:r>
            <w:r>
              <w:rPr>
                <w:sz w:val="26"/>
                <w:rtl/>
              </w:rPr>
              <w:t>:</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keepLines w:val="0"/>
            </w:pPr>
          </w:p>
        </w:tc>
        <w:tc>
          <w:tcPr>
            <w:tcW w:w="624" w:type="dxa"/>
          </w:tcPr>
          <w:p w:rsidR="00020D78" w:rsidRDefault="00020D78" w:rsidP="006F65EB">
            <w:pPr>
              <w:pStyle w:val="TableText"/>
              <w:keepLines w:val="0"/>
            </w:pPr>
          </w:p>
        </w:tc>
        <w:tc>
          <w:tcPr>
            <w:tcW w:w="1872" w:type="dxa"/>
            <w:gridSpan w:val="3"/>
          </w:tcPr>
          <w:p w:rsidR="00020D78" w:rsidRDefault="00020D78" w:rsidP="006F65EB">
            <w:pPr>
              <w:pStyle w:val="TableInnerSideHeading"/>
            </w:pPr>
            <w:r>
              <w:rPr>
                <w:rtl/>
              </w:rPr>
              <w:t>"תנאים נוספים למתן רישיון לעיתון בשפה העברית</w:t>
            </w:r>
          </w:p>
        </w:tc>
        <w:tc>
          <w:tcPr>
            <w:tcW w:w="624" w:type="dxa"/>
          </w:tcPr>
          <w:p w:rsidR="00020D78" w:rsidRDefault="00020D78" w:rsidP="006F65EB">
            <w:pPr>
              <w:pStyle w:val="TableText"/>
            </w:pPr>
            <w:r>
              <w:rPr>
                <w:rtl/>
              </w:rPr>
              <w:t>5א.</w:t>
            </w:r>
          </w:p>
        </w:tc>
        <w:tc>
          <w:tcPr>
            <w:tcW w:w="4649" w:type="dxa"/>
          </w:tcPr>
          <w:p w:rsidR="00020D78" w:rsidRDefault="00020D78" w:rsidP="006F65EB">
            <w:pPr>
              <w:pStyle w:val="TableBlock"/>
            </w:pPr>
            <w:r>
              <w:rPr>
                <w:sz w:val="26"/>
                <w:rtl/>
              </w:rPr>
              <w:t xml:space="preserve">בלי לגרוע מהוראות סעיף 5, </w:t>
            </w:r>
            <w:r w:rsidRPr="002B28E3">
              <w:rPr>
                <w:sz w:val="26"/>
                <w:rtl/>
              </w:rPr>
              <w:t>לא יינתן רישיון</w:t>
            </w:r>
            <w:r>
              <w:rPr>
                <w:sz w:val="26"/>
                <w:rtl/>
              </w:rPr>
              <w:t xml:space="preserve"> </w:t>
            </w:r>
            <w:r w:rsidRPr="002B28E3">
              <w:rPr>
                <w:sz w:val="26"/>
                <w:rtl/>
              </w:rPr>
              <w:t>לעיתון בשפה העברית</w:t>
            </w:r>
            <w:r>
              <w:rPr>
                <w:sz w:val="26"/>
                <w:rtl/>
              </w:rPr>
              <w:t>,</w:t>
            </w:r>
            <w:r w:rsidRPr="002B28E3">
              <w:rPr>
                <w:sz w:val="26"/>
                <w:rtl/>
              </w:rPr>
              <w:t xml:space="preserve"> אלא אם </w:t>
            </w:r>
            <w:r>
              <w:rPr>
                <w:sz w:val="26"/>
                <w:rtl/>
              </w:rPr>
              <w:t xml:space="preserve">כן </w:t>
            </w:r>
            <w:r w:rsidRPr="002B28E3">
              <w:rPr>
                <w:sz w:val="26"/>
                <w:rtl/>
              </w:rPr>
              <w:t>מבקש הרישיון הוא אחד מאלה:</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4649" w:type="dxa"/>
          </w:tcPr>
          <w:p w:rsidR="00020D78" w:rsidRDefault="00020D78" w:rsidP="006F65EB">
            <w:pPr>
              <w:pStyle w:val="TableBlock"/>
            </w:pPr>
            <w:r>
              <w:rPr>
                <w:rtl/>
              </w:rPr>
              <w:t xml:space="preserve">(1)      </w:t>
            </w:r>
            <w:r w:rsidRPr="002B28E3">
              <w:rPr>
                <w:sz w:val="26"/>
                <w:rtl/>
              </w:rPr>
              <w:t xml:space="preserve">אזרח ישראלי ותושב ישראל; </w:t>
            </w:r>
            <w:r>
              <w:rPr>
                <w:rtl/>
              </w:rPr>
              <w:t xml:space="preserve"> </w:t>
            </w:r>
            <w:r>
              <w:rPr>
                <w:rtl/>
              </w:rPr>
              <w:tab/>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4649" w:type="dxa"/>
          </w:tcPr>
          <w:p w:rsidR="00020D78" w:rsidRDefault="00020D78" w:rsidP="006F65EB">
            <w:pPr>
              <w:pStyle w:val="TableBlock"/>
            </w:pPr>
            <w:r>
              <w:rPr>
                <w:rtl/>
              </w:rPr>
              <w:t xml:space="preserve">(2)      </w:t>
            </w:r>
            <w:r w:rsidRPr="002B28E3">
              <w:rPr>
                <w:sz w:val="26"/>
                <w:rtl/>
              </w:rPr>
              <w:t>תאגיד רשום בישראל</w:t>
            </w:r>
            <w:r>
              <w:rPr>
                <w:sz w:val="26"/>
                <w:rtl/>
              </w:rPr>
              <w:t>,</w:t>
            </w:r>
            <w:r w:rsidRPr="002B28E3">
              <w:rPr>
                <w:sz w:val="26"/>
                <w:rtl/>
              </w:rPr>
              <w:t xml:space="preserve"> </w:t>
            </w:r>
            <w:r>
              <w:rPr>
                <w:sz w:val="26"/>
                <w:rtl/>
              </w:rPr>
              <w:t>ש</w:t>
            </w:r>
            <w:r w:rsidRPr="002B28E3">
              <w:rPr>
                <w:sz w:val="26"/>
                <w:rtl/>
              </w:rPr>
              <w:t>היכולת לכוון את פעולתו ו</w:t>
            </w:r>
            <w:r>
              <w:rPr>
                <w:sz w:val="26"/>
                <w:rtl/>
              </w:rPr>
              <w:t xml:space="preserve">כן </w:t>
            </w:r>
            <w:r w:rsidRPr="002B28E3">
              <w:rPr>
                <w:sz w:val="26"/>
                <w:rtl/>
              </w:rPr>
              <w:t>חמישים ואחד אחוזים לפחות מכ</w:t>
            </w:r>
            <w:r>
              <w:rPr>
                <w:sz w:val="26"/>
                <w:rtl/>
              </w:rPr>
              <w:t>ל</w:t>
            </w:r>
            <w:r w:rsidRPr="002B28E3">
              <w:rPr>
                <w:sz w:val="26"/>
                <w:rtl/>
              </w:rPr>
              <w:t xml:space="preserve">ל אמצעי השליטה בו, במישרין או בעקיפין, </w:t>
            </w:r>
            <w:r>
              <w:rPr>
                <w:sz w:val="26"/>
                <w:rtl/>
              </w:rPr>
              <w:t>מוחזקים</w:t>
            </w:r>
            <w:r w:rsidRPr="002B28E3">
              <w:rPr>
                <w:sz w:val="26"/>
                <w:rtl/>
              </w:rPr>
              <w:t xml:space="preserve"> בידי אזרחי ישראלי ותושבי ישראל, או בידי תאגידים רשומים בישראל שמתקיימים בהם התנאים</w:t>
            </w:r>
            <w:r>
              <w:rPr>
                <w:sz w:val="26"/>
                <w:rtl/>
              </w:rPr>
              <w:t xml:space="preserve"> האמורים בסעיף זה</w:t>
            </w:r>
            <w:r w:rsidRPr="002B28E3">
              <w:rPr>
                <w:sz w:val="26"/>
                <w:rtl/>
              </w:rPr>
              <w:t>.</w:t>
            </w:r>
            <w:r>
              <w:rPr>
                <w:rtl/>
              </w:rPr>
              <w:t>"</w:t>
            </w:r>
          </w:p>
        </w:tc>
      </w:tr>
      <w:tr w:rsidR="00020D78" w:rsidRPr="0098404A" w:rsidTr="006F65EB">
        <w:tc>
          <w:tcPr>
            <w:tcW w:w="1869" w:type="dxa"/>
          </w:tcPr>
          <w:p w:rsidR="00020D78" w:rsidRPr="002B28E3" w:rsidRDefault="00020D78" w:rsidP="006F65EB">
            <w:pPr>
              <w:pStyle w:val="TableSideHeading"/>
              <w:rPr>
                <w:sz w:val="26"/>
                <w:rtl/>
              </w:rPr>
            </w:pPr>
            <w:r>
              <w:rPr>
                <w:sz w:val="26"/>
                <w:rtl/>
              </w:rPr>
              <w:t>תיקון סעיף 11</w:t>
            </w:r>
          </w:p>
        </w:tc>
        <w:tc>
          <w:tcPr>
            <w:tcW w:w="624" w:type="dxa"/>
          </w:tcPr>
          <w:p w:rsidR="00020D78" w:rsidRDefault="00020D78" w:rsidP="006F65EB">
            <w:pPr>
              <w:pStyle w:val="TableText"/>
              <w:rPr>
                <w:rtl/>
              </w:rPr>
            </w:pPr>
            <w:r>
              <w:rPr>
                <w:rtl/>
              </w:rPr>
              <w:t>4.</w:t>
            </w:r>
          </w:p>
        </w:tc>
        <w:tc>
          <w:tcPr>
            <w:tcW w:w="7145" w:type="dxa"/>
            <w:gridSpan w:val="5"/>
          </w:tcPr>
          <w:p w:rsidR="00020D78" w:rsidRDefault="00020D78" w:rsidP="006F65EB">
            <w:pPr>
              <w:pStyle w:val="TableBlock"/>
              <w:rPr>
                <w:sz w:val="26"/>
                <w:rtl/>
              </w:rPr>
            </w:pPr>
            <w:r w:rsidRPr="002B28E3">
              <w:rPr>
                <w:sz w:val="26"/>
                <w:rtl/>
              </w:rPr>
              <w:t xml:space="preserve">בסעיף </w:t>
            </w:r>
            <w:r>
              <w:rPr>
                <w:sz w:val="26"/>
                <w:rtl/>
              </w:rPr>
              <w:t>11</w:t>
            </w:r>
            <w:r w:rsidRPr="002B28E3">
              <w:rPr>
                <w:sz w:val="26"/>
                <w:rtl/>
              </w:rPr>
              <w:t>(4)</w:t>
            </w:r>
            <w:r>
              <w:rPr>
                <w:sz w:val="26"/>
                <w:rtl/>
              </w:rPr>
              <w:t>,</w:t>
            </w:r>
            <w:r w:rsidRPr="002B28E3">
              <w:rPr>
                <w:sz w:val="26"/>
                <w:rtl/>
              </w:rPr>
              <w:t xml:space="preserve"> </w:t>
            </w:r>
            <w:r>
              <w:rPr>
                <w:sz w:val="26"/>
                <w:rtl/>
              </w:rPr>
              <w:t>המילים "(למעט חברה נכרית)" ו-</w:t>
            </w:r>
            <w:r w:rsidRPr="002B28E3">
              <w:rPr>
                <w:sz w:val="26"/>
                <w:rtl/>
              </w:rPr>
              <w:t>"ואם היה בעליו של העיתון חברה נכרית תוגש ההודעה או ההצהרה ע"י האדם המורשה לפעול עבור אותה חברה בישראל"</w:t>
            </w:r>
            <w:r>
              <w:rPr>
                <w:sz w:val="26"/>
                <w:rtl/>
              </w:rPr>
              <w:t xml:space="preserve"> – יימחקו.</w:t>
            </w:r>
          </w:p>
        </w:tc>
      </w:tr>
      <w:tr w:rsidR="00020D78" w:rsidRPr="0098404A" w:rsidTr="006F65EB">
        <w:tc>
          <w:tcPr>
            <w:tcW w:w="1869" w:type="dxa"/>
          </w:tcPr>
          <w:p w:rsidR="00020D78" w:rsidRPr="002B28E3" w:rsidDel="00EB617C" w:rsidRDefault="00020D78" w:rsidP="006F65EB">
            <w:pPr>
              <w:pStyle w:val="TableSideHeading"/>
              <w:rPr>
                <w:sz w:val="26"/>
                <w:rtl/>
              </w:rPr>
            </w:pPr>
            <w:r>
              <w:rPr>
                <w:sz w:val="26"/>
                <w:rtl/>
              </w:rPr>
              <w:t>תיקון סעיף 12</w:t>
            </w:r>
          </w:p>
        </w:tc>
        <w:tc>
          <w:tcPr>
            <w:tcW w:w="624" w:type="dxa"/>
          </w:tcPr>
          <w:p w:rsidR="00020D78" w:rsidDel="00EB617C" w:rsidRDefault="00020D78" w:rsidP="006F65EB">
            <w:pPr>
              <w:pStyle w:val="TableText"/>
              <w:rPr>
                <w:rtl/>
              </w:rPr>
            </w:pPr>
            <w:r>
              <w:rPr>
                <w:rtl/>
              </w:rPr>
              <w:t>5.</w:t>
            </w:r>
          </w:p>
        </w:tc>
        <w:tc>
          <w:tcPr>
            <w:tcW w:w="7145" w:type="dxa"/>
            <w:gridSpan w:val="5"/>
          </w:tcPr>
          <w:p w:rsidR="00020D78" w:rsidDel="00EB617C" w:rsidRDefault="00020D78" w:rsidP="006F65EB">
            <w:pPr>
              <w:pStyle w:val="TableBlock"/>
              <w:rPr>
                <w:sz w:val="26"/>
                <w:rtl/>
              </w:rPr>
            </w:pPr>
            <w:r w:rsidRPr="002B28E3">
              <w:rPr>
                <w:sz w:val="26"/>
                <w:rtl/>
              </w:rPr>
              <w:t>בסעיף 12(א)</w:t>
            </w:r>
            <w:r>
              <w:rPr>
                <w:sz w:val="26"/>
                <w:rtl/>
              </w:rPr>
              <w:t>,</w:t>
            </w:r>
            <w:r w:rsidRPr="002B28E3">
              <w:rPr>
                <w:sz w:val="26"/>
                <w:rtl/>
              </w:rPr>
              <w:t xml:space="preserve"> </w:t>
            </w:r>
            <w:r>
              <w:rPr>
                <w:sz w:val="26"/>
                <w:rtl/>
              </w:rPr>
              <w:t>המילים "(למעט חברה נכרית)" ו-</w:t>
            </w:r>
            <w:r w:rsidRPr="002B28E3">
              <w:rPr>
                <w:sz w:val="26"/>
                <w:rtl/>
              </w:rPr>
              <w:t xml:space="preserve">"ואם הוא חברה נכרית </w:t>
            </w:r>
            <w:r>
              <w:rPr>
                <w:sz w:val="26"/>
                <w:rtl/>
              </w:rPr>
              <w:t>–</w:t>
            </w:r>
            <w:r w:rsidRPr="002B28E3">
              <w:rPr>
                <w:sz w:val="26"/>
                <w:rtl/>
              </w:rPr>
              <w:t xml:space="preserve"> ע"י האדם המורשה לפעול עבור אותה חברה בישראל"</w:t>
            </w:r>
            <w:r>
              <w:rPr>
                <w:sz w:val="26"/>
                <w:rtl/>
              </w:rPr>
              <w:t xml:space="preserve"> – יימחקו</w:t>
            </w:r>
            <w:r w:rsidRPr="002B28E3">
              <w:rPr>
                <w:sz w:val="26"/>
                <w:rtl/>
              </w:rPr>
              <w:t>.</w:t>
            </w:r>
          </w:p>
        </w:tc>
      </w:tr>
      <w:tr w:rsidR="00020D78" w:rsidRPr="0098404A" w:rsidTr="006F65EB">
        <w:tc>
          <w:tcPr>
            <w:tcW w:w="1869" w:type="dxa"/>
          </w:tcPr>
          <w:p w:rsidR="00020D78" w:rsidRPr="002B28E3" w:rsidDel="00EB617C" w:rsidRDefault="00020D78" w:rsidP="006F65EB">
            <w:pPr>
              <w:pStyle w:val="TableSideHeading"/>
              <w:rPr>
                <w:sz w:val="26"/>
                <w:rtl/>
              </w:rPr>
            </w:pPr>
            <w:r>
              <w:rPr>
                <w:sz w:val="26"/>
                <w:rtl/>
              </w:rPr>
              <w:t>תיקון סעיף 13</w:t>
            </w:r>
          </w:p>
        </w:tc>
        <w:tc>
          <w:tcPr>
            <w:tcW w:w="624" w:type="dxa"/>
          </w:tcPr>
          <w:p w:rsidR="00020D78" w:rsidDel="00EB617C" w:rsidRDefault="00020D78" w:rsidP="006F65EB">
            <w:pPr>
              <w:pStyle w:val="TableText"/>
              <w:rPr>
                <w:rtl/>
              </w:rPr>
            </w:pPr>
            <w:r>
              <w:rPr>
                <w:rtl/>
              </w:rPr>
              <w:t>6.</w:t>
            </w:r>
          </w:p>
        </w:tc>
        <w:tc>
          <w:tcPr>
            <w:tcW w:w="7145" w:type="dxa"/>
            <w:gridSpan w:val="5"/>
          </w:tcPr>
          <w:p w:rsidR="00020D78" w:rsidDel="00EB617C" w:rsidRDefault="00020D78" w:rsidP="006F65EB">
            <w:pPr>
              <w:pStyle w:val="TableBlock"/>
              <w:rPr>
                <w:sz w:val="26"/>
                <w:rtl/>
              </w:rPr>
            </w:pPr>
            <w:r w:rsidRPr="002B28E3">
              <w:rPr>
                <w:sz w:val="26"/>
                <w:rtl/>
              </w:rPr>
              <w:t>בסעיף 13(2)</w:t>
            </w:r>
            <w:r>
              <w:rPr>
                <w:sz w:val="26"/>
                <w:rtl/>
              </w:rPr>
              <w:t>, המילים "(למעט חברה נכרית)" ו-</w:t>
            </w:r>
            <w:r w:rsidRPr="002B28E3">
              <w:rPr>
                <w:sz w:val="26"/>
                <w:rtl/>
              </w:rPr>
              <w:t xml:space="preserve">"ואם הייתה החברה חברה נכרית </w:t>
            </w:r>
            <w:r>
              <w:rPr>
                <w:sz w:val="26"/>
                <w:rtl/>
              </w:rPr>
              <w:t>–</w:t>
            </w:r>
            <w:r w:rsidRPr="002B28E3">
              <w:rPr>
                <w:sz w:val="26"/>
                <w:rtl/>
              </w:rPr>
              <w:t xml:space="preserve"> ייחתם ע"י אדם המורשה לפעול עבור אותה חברה בישראל ובחותם הרשמי של החברה"</w:t>
            </w:r>
            <w:r>
              <w:rPr>
                <w:sz w:val="26"/>
                <w:rtl/>
              </w:rPr>
              <w:t xml:space="preserve"> – יימחקו.</w:t>
            </w:r>
          </w:p>
        </w:tc>
      </w:tr>
      <w:tr w:rsidR="00020D78" w:rsidRPr="0098404A" w:rsidTr="006F65EB">
        <w:tc>
          <w:tcPr>
            <w:tcW w:w="1869" w:type="dxa"/>
          </w:tcPr>
          <w:p w:rsidR="00020D78" w:rsidRPr="002B28E3" w:rsidDel="00EB617C" w:rsidRDefault="00020D78" w:rsidP="006F65EB">
            <w:pPr>
              <w:pStyle w:val="TableSideHeading"/>
              <w:rPr>
                <w:sz w:val="26"/>
                <w:rtl/>
              </w:rPr>
            </w:pPr>
            <w:r>
              <w:rPr>
                <w:sz w:val="26"/>
                <w:rtl/>
              </w:rPr>
              <w:t>תיקון סעיף 22</w:t>
            </w:r>
          </w:p>
        </w:tc>
        <w:tc>
          <w:tcPr>
            <w:tcW w:w="624" w:type="dxa"/>
          </w:tcPr>
          <w:p w:rsidR="00020D78" w:rsidDel="00EB617C" w:rsidRDefault="00020D78" w:rsidP="006F65EB">
            <w:pPr>
              <w:pStyle w:val="TableText"/>
              <w:rPr>
                <w:rtl/>
              </w:rPr>
            </w:pPr>
            <w:r>
              <w:rPr>
                <w:rtl/>
              </w:rPr>
              <w:t>7.</w:t>
            </w:r>
          </w:p>
        </w:tc>
        <w:tc>
          <w:tcPr>
            <w:tcW w:w="7145" w:type="dxa"/>
            <w:gridSpan w:val="5"/>
          </w:tcPr>
          <w:p w:rsidR="00020D78" w:rsidDel="00EB617C" w:rsidRDefault="00020D78" w:rsidP="006F65EB">
            <w:pPr>
              <w:pStyle w:val="TableBlock"/>
              <w:rPr>
                <w:sz w:val="26"/>
                <w:rtl/>
              </w:rPr>
            </w:pPr>
            <w:r w:rsidRPr="002B28E3">
              <w:rPr>
                <w:sz w:val="26"/>
                <w:rtl/>
              </w:rPr>
              <w:t>בסעיף 22(2)</w:t>
            </w:r>
            <w:r>
              <w:rPr>
                <w:sz w:val="26"/>
                <w:rtl/>
              </w:rPr>
              <w:t>, המילים "(למעט חברה נכרית)" ו-</w:t>
            </w:r>
            <w:r w:rsidRPr="002B28E3">
              <w:rPr>
                <w:sz w:val="26"/>
                <w:rtl/>
              </w:rPr>
              <w:t>"ואם היה חברה נכרית, יאשם האדם המורשה לפעול עבור אותה חברה בישראל"</w:t>
            </w:r>
            <w:r>
              <w:rPr>
                <w:sz w:val="26"/>
                <w:rtl/>
              </w:rPr>
              <w:t xml:space="preserve"> – יימחקו.</w:t>
            </w:r>
          </w:p>
        </w:tc>
      </w:tr>
      <w:tr w:rsidR="00020D78" w:rsidRPr="0098404A" w:rsidTr="006F65EB">
        <w:tblPrEx>
          <w:tblCellMar>
            <w:top w:w="57" w:type="dxa"/>
            <w:left w:w="0" w:type="dxa"/>
            <w:bottom w:w="57" w:type="dxa"/>
            <w:right w:w="0" w:type="dxa"/>
          </w:tblCellMar>
        </w:tblPrEx>
        <w:trPr>
          <w:cantSplit/>
        </w:trPr>
        <w:tc>
          <w:tcPr>
            <w:tcW w:w="1869" w:type="dxa"/>
          </w:tcPr>
          <w:p w:rsidR="00020D78" w:rsidRPr="002B28E3" w:rsidRDefault="00020D78" w:rsidP="006F65EB">
            <w:pPr>
              <w:pStyle w:val="TableSideHeading"/>
              <w:rPr>
                <w:sz w:val="26"/>
                <w:rtl/>
              </w:rPr>
            </w:pPr>
            <w:r w:rsidRPr="002B28E3">
              <w:rPr>
                <w:sz w:val="26"/>
                <w:rtl/>
              </w:rPr>
              <w:t>תיקון התוספת הראשונה</w:t>
            </w:r>
          </w:p>
        </w:tc>
        <w:tc>
          <w:tcPr>
            <w:tcW w:w="624" w:type="dxa"/>
          </w:tcPr>
          <w:p w:rsidR="00020D78" w:rsidRDefault="00020D78" w:rsidP="006F65EB">
            <w:pPr>
              <w:pStyle w:val="TableText"/>
              <w:rPr>
                <w:rtl/>
              </w:rPr>
            </w:pPr>
            <w:r>
              <w:rPr>
                <w:rtl/>
              </w:rPr>
              <w:t>8.</w:t>
            </w:r>
          </w:p>
        </w:tc>
        <w:tc>
          <w:tcPr>
            <w:tcW w:w="7145" w:type="dxa"/>
            <w:gridSpan w:val="5"/>
          </w:tcPr>
          <w:p w:rsidR="00020D78" w:rsidRDefault="00020D78" w:rsidP="006F65EB">
            <w:pPr>
              <w:pStyle w:val="TableBlock"/>
              <w:rPr>
                <w:rtl/>
              </w:rPr>
            </w:pPr>
            <w:r>
              <w:rPr>
                <w:rtl/>
              </w:rPr>
              <w:t xml:space="preserve">בתוספת הראשונה לפקודה –  </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7145" w:type="dxa"/>
            <w:gridSpan w:val="5"/>
          </w:tcPr>
          <w:p w:rsidR="00020D78" w:rsidRDefault="00020D78" w:rsidP="006F65EB">
            <w:pPr>
              <w:pStyle w:val="TableBlock"/>
            </w:pPr>
            <w:r w:rsidRPr="002B28E3">
              <w:rPr>
                <w:sz w:val="26"/>
                <w:rtl/>
              </w:rPr>
              <w:t>(</w:t>
            </w:r>
            <w:r>
              <w:rPr>
                <w:sz w:val="26"/>
                <w:rtl/>
              </w:rPr>
              <w:t>1</w:t>
            </w:r>
            <w:r w:rsidRPr="002B28E3">
              <w:rPr>
                <w:sz w:val="26"/>
                <w:rtl/>
              </w:rPr>
              <w:t>)</w:t>
            </w:r>
            <w:r>
              <w:rPr>
                <w:sz w:val="26"/>
                <w:rtl/>
              </w:rPr>
              <w:t xml:space="preserve">   </w:t>
            </w:r>
            <w:r w:rsidRPr="002B28E3">
              <w:rPr>
                <w:sz w:val="26"/>
                <w:rtl/>
              </w:rPr>
              <w:t xml:space="preserve"> בטופס </w:t>
            </w:r>
            <w:r>
              <w:rPr>
                <w:sz w:val="26"/>
                <w:rtl/>
              </w:rPr>
              <w:t>ה</w:t>
            </w:r>
            <w:r w:rsidRPr="002B28E3">
              <w:rPr>
                <w:sz w:val="26"/>
                <w:rtl/>
              </w:rPr>
              <w:t>הצהרה שתצורף לבקשת רישיון להוציא לאור עיתון</w:t>
            </w:r>
            <w:r>
              <w:rPr>
                <w:sz w:val="26"/>
                <w:rtl/>
              </w:rPr>
              <w:t>,</w:t>
            </w:r>
            <w:r w:rsidRPr="002B28E3">
              <w:rPr>
                <w:sz w:val="26"/>
                <w:rtl/>
              </w:rPr>
              <w:t xml:space="preserve"> </w:t>
            </w:r>
            <w:r>
              <w:rPr>
                <w:sz w:val="26"/>
                <w:rtl/>
              </w:rPr>
              <w:t>במקום</w:t>
            </w:r>
            <w:r w:rsidRPr="002B28E3">
              <w:rPr>
                <w:sz w:val="26"/>
                <w:rtl/>
              </w:rPr>
              <w:t xml:space="preserve"> </w:t>
            </w:r>
            <w:r>
              <w:rPr>
                <w:sz w:val="26"/>
                <w:rtl/>
              </w:rPr>
              <w:t xml:space="preserve">פרט </w:t>
            </w:r>
            <w:r w:rsidRPr="002B28E3">
              <w:rPr>
                <w:sz w:val="26"/>
                <w:rtl/>
              </w:rPr>
              <w:t>4 יבוא</w:t>
            </w:r>
            <w:r>
              <w:rPr>
                <w:sz w:val="26"/>
                <w:rtl/>
              </w:rPr>
              <w:t>:</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Pr="002B28E3" w:rsidRDefault="00020D78" w:rsidP="006F65EB">
            <w:pPr>
              <w:pStyle w:val="TableBlock"/>
              <w:rPr>
                <w:sz w:val="26"/>
                <w:rtl/>
              </w:rPr>
            </w:pPr>
            <w:r>
              <w:rPr>
                <w:sz w:val="26"/>
                <w:rtl/>
              </w:rPr>
              <w:t>"4.</w:t>
            </w:r>
            <w:r>
              <w:rPr>
                <w:sz w:val="26"/>
                <w:rtl/>
              </w:rPr>
              <w:tab/>
              <w:t xml:space="preserve">פרטים המתייחסים למימון ולתושבות והאזרחות הישראלית בהתאם להוראות </w:t>
            </w:r>
            <w:r w:rsidRPr="002B28E3">
              <w:rPr>
                <w:sz w:val="26"/>
                <w:rtl/>
              </w:rPr>
              <w:t>סעיפים 5(1)(א)</w:t>
            </w:r>
            <w:r>
              <w:rPr>
                <w:sz w:val="26"/>
                <w:rtl/>
              </w:rPr>
              <w:t xml:space="preserve"> ו-5</w:t>
            </w:r>
            <w:r w:rsidRPr="002B28E3">
              <w:rPr>
                <w:sz w:val="26"/>
                <w:rtl/>
              </w:rPr>
              <w:t xml:space="preserve">א </w:t>
            </w:r>
            <w:r>
              <w:rPr>
                <w:sz w:val="26"/>
                <w:rtl/>
              </w:rPr>
              <w:t>ל</w:t>
            </w:r>
            <w:r w:rsidRPr="002B28E3">
              <w:rPr>
                <w:sz w:val="26"/>
                <w:rtl/>
              </w:rPr>
              <w:t>פקודה, לפי העניין</w:t>
            </w:r>
            <w:r>
              <w:rPr>
                <w:sz w:val="26"/>
                <w:rtl/>
              </w:rPr>
              <w:t>.";</w:t>
            </w:r>
          </w:p>
        </w:tc>
      </w:tr>
      <w:tr w:rsidR="00020D78" w:rsidRPr="0098404A" w:rsidTr="006F65EB">
        <w:tblPrEx>
          <w:tblCellMar>
            <w:top w:w="57" w:type="dxa"/>
            <w:left w:w="0" w:type="dxa"/>
            <w:bottom w:w="57" w:type="dxa"/>
            <w:right w:w="0" w:type="dxa"/>
          </w:tblCellMar>
        </w:tblPrEx>
        <w:trPr>
          <w:cantSplit/>
        </w:trPr>
        <w:tc>
          <w:tcPr>
            <w:tcW w:w="1869" w:type="dxa"/>
          </w:tcPr>
          <w:p w:rsidR="00020D78" w:rsidRPr="002B28E3" w:rsidRDefault="00020D78" w:rsidP="006F65EB">
            <w:pPr>
              <w:pStyle w:val="TableSideHeading"/>
              <w:rPr>
                <w:sz w:val="26"/>
                <w:rtl/>
              </w:rPr>
            </w:pPr>
          </w:p>
        </w:tc>
        <w:tc>
          <w:tcPr>
            <w:tcW w:w="624" w:type="dxa"/>
          </w:tcPr>
          <w:p w:rsidR="00020D78" w:rsidRDefault="00020D78" w:rsidP="006F65EB">
            <w:pPr>
              <w:pStyle w:val="TableText"/>
              <w:rPr>
                <w:rtl/>
              </w:rPr>
            </w:pPr>
          </w:p>
        </w:tc>
        <w:tc>
          <w:tcPr>
            <w:tcW w:w="7145" w:type="dxa"/>
            <w:gridSpan w:val="5"/>
          </w:tcPr>
          <w:p w:rsidR="00020D78" w:rsidRPr="002B28E3" w:rsidRDefault="00020D78" w:rsidP="006F65EB">
            <w:pPr>
              <w:pStyle w:val="TableBlock"/>
              <w:rPr>
                <w:sz w:val="26"/>
                <w:rtl/>
              </w:rPr>
            </w:pPr>
            <w:r>
              <w:rPr>
                <w:sz w:val="26"/>
                <w:rtl/>
              </w:rPr>
              <w:t xml:space="preserve">(2)      </w:t>
            </w:r>
            <w:r w:rsidRPr="002B28E3">
              <w:rPr>
                <w:sz w:val="26"/>
                <w:rtl/>
              </w:rPr>
              <w:t xml:space="preserve">בטופס </w:t>
            </w:r>
            <w:r>
              <w:rPr>
                <w:sz w:val="26"/>
                <w:rtl/>
              </w:rPr>
              <w:t>ה</w:t>
            </w:r>
            <w:r w:rsidRPr="002B28E3">
              <w:rPr>
                <w:sz w:val="26"/>
                <w:rtl/>
              </w:rPr>
              <w:t xml:space="preserve">הצהרה מאת עורך, </w:t>
            </w:r>
            <w:r>
              <w:rPr>
                <w:sz w:val="26"/>
                <w:rtl/>
              </w:rPr>
              <w:t>במקום</w:t>
            </w:r>
            <w:r w:rsidRPr="002B28E3">
              <w:rPr>
                <w:sz w:val="26"/>
                <w:rtl/>
              </w:rPr>
              <w:t xml:space="preserve"> </w:t>
            </w:r>
            <w:r>
              <w:rPr>
                <w:sz w:val="26"/>
                <w:rtl/>
              </w:rPr>
              <w:t xml:space="preserve">פרט </w:t>
            </w:r>
            <w:r w:rsidRPr="002B28E3">
              <w:rPr>
                <w:sz w:val="26"/>
                <w:rtl/>
              </w:rPr>
              <w:t>3 יבוא</w:t>
            </w:r>
            <w:r>
              <w:rPr>
                <w:sz w:val="26"/>
                <w:rtl/>
              </w:rPr>
              <w:t>:</w:t>
            </w:r>
            <w:r w:rsidRPr="002B28E3">
              <w:rPr>
                <w:sz w:val="26"/>
                <w:rtl/>
              </w:rPr>
              <w:t xml:space="preserve"> </w:t>
            </w:r>
          </w:p>
        </w:tc>
      </w:tr>
      <w:tr w:rsidR="00020D78" w:rsidTr="006F65EB">
        <w:tblPrEx>
          <w:tblCellMar>
            <w:top w:w="57" w:type="dxa"/>
            <w:left w:w="0" w:type="dxa"/>
            <w:bottom w:w="57" w:type="dxa"/>
            <w:right w:w="0" w:type="dxa"/>
          </w:tblCellMar>
        </w:tblPrEx>
        <w:trPr>
          <w:cantSplit/>
          <w:trHeight w:val="60"/>
        </w:trPr>
        <w:tc>
          <w:tcPr>
            <w:tcW w:w="1869" w:type="dxa"/>
          </w:tcPr>
          <w:p w:rsidR="00020D78" w:rsidRDefault="00020D78" w:rsidP="006F65EB">
            <w:pPr>
              <w:pStyle w:val="TableSideHeading"/>
            </w:pPr>
          </w:p>
        </w:tc>
        <w:tc>
          <w:tcPr>
            <w:tcW w:w="624" w:type="dxa"/>
          </w:tcPr>
          <w:p w:rsidR="00020D78" w:rsidRDefault="00020D78" w:rsidP="006F65EB">
            <w:pPr>
              <w:pStyle w:val="TableText"/>
            </w:pPr>
          </w:p>
        </w:tc>
        <w:tc>
          <w:tcPr>
            <w:tcW w:w="624" w:type="dxa"/>
          </w:tcPr>
          <w:p w:rsidR="00020D78" w:rsidRDefault="00020D78" w:rsidP="006F65EB">
            <w:pPr>
              <w:pStyle w:val="TableText"/>
            </w:pPr>
          </w:p>
        </w:tc>
        <w:tc>
          <w:tcPr>
            <w:tcW w:w="6521" w:type="dxa"/>
            <w:gridSpan w:val="4"/>
          </w:tcPr>
          <w:p w:rsidR="00020D78" w:rsidRDefault="00020D78" w:rsidP="006F65EB">
            <w:pPr>
              <w:pStyle w:val="TableBlock"/>
            </w:pPr>
            <w:r>
              <w:rPr>
                <w:sz w:val="26"/>
                <w:rtl/>
              </w:rPr>
              <w:t>"3.</w:t>
            </w:r>
            <w:r>
              <w:rPr>
                <w:sz w:val="26"/>
                <w:rtl/>
              </w:rPr>
              <w:tab/>
              <w:t>אזרחותו הישראלית והיותו תושב ישראל."</w:t>
            </w:r>
          </w:p>
        </w:tc>
      </w:tr>
      <w:tr w:rsidR="00020D78" w:rsidRPr="0098404A" w:rsidTr="006F65EB">
        <w:tc>
          <w:tcPr>
            <w:tcW w:w="1869" w:type="dxa"/>
          </w:tcPr>
          <w:p w:rsidR="00020D78" w:rsidRPr="002B28E3" w:rsidRDefault="00020D78" w:rsidP="006F65EB">
            <w:pPr>
              <w:pStyle w:val="TableSideHeading"/>
              <w:rPr>
                <w:sz w:val="26"/>
                <w:rtl/>
              </w:rPr>
            </w:pPr>
            <w:r>
              <w:rPr>
                <w:sz w:val="26"/>
                <w:rtl/>
              </w:rPr>
              <w:t>תיקון התוספת הרביעית</w:t>
            </w:r>
          </w:p>
        </w:tc>
        <w:tc>
          <w:tcPr>
            <w:tcW w:w="624" w:type="dxa"/>
          </w:tcPr>
          <w:p w:rsidR="00020D78" w:rsidRDefault="00020D78" w:rsidP="006F65EB">
            <w:pPr>
              <w:pStyle w:val="TableText"/>
              <w:rPr>
                <w:rtl/>
              </w:rPr>
            </w:pPr>
            <w:r>
              <w:rPr>
                <w:rtl/>
              </w:rPr>
              <w:t>9.</w:t>
            </w:r>
          </w:p>
        </w:tc>
        <w:tc>
          <w:tcPr>
            <w:tcW w:w="7145" w:type="dxa"/>
            <w:gridSpan w:val="5"/>
          </w:tcPr>
          <w:p w:rsidR="00020D78" w:rsidRDefault="00020D78" w:rsidP="006F65EB">
            <w:pPr>
              <w:pStyle w:val="TableBlock"/>
              <w:rPr>
                <w:sz w:val="26"/>
                <w:rtl/>
              </w:rPr>
            </w:pPr>
            <w:r>
              <w:rPr>
                <w:sz w:val="26"/>
                <w:rtl/>
              </w:rPr>
              <w:t>בתוספת הרביעית לפקודה, בפרט (א), המילים "(למעט חברה נכרית)" – יימחקו.</w:t>
            </w:r>
          </w:p>
        </w:tc>
      </w:tr>
      <w:tr w:rsidR="00020D78" w:rsidRPr="0098404A" w:rsidTr="006F65EB">
        <w:tblPrEx>
          <w:tblCellMar>
            <w:top w:w="57" w:type="dxa"/>
            <w:left w:w="0" w:type="dxa"/>
            <w:bottom w:w="57" w:type="dxa"/>
            <w:right w:w="0" w:type="dxa"/>
          </w:tblCellMar>
        </w:tblPrEx>
        <w:trPr>
          <w:cantSplit/>
        </w:trPr>
        <w:tc>
          <w:tcPr>
            <w:tcW w:w="1869" w:type="dxa"/>
          </w:tcPr>
          <w:p w:rsidR="00020D78" w:rsidRDefault="00020D78" w:rsidP="006F65EB">
            <w:pPr>
              <w:pStyle w:val="TableSideHeading"/>
            </w:pPr>
            <w:r w:rsidRPr="002B28E3">
              <w:rPr>
                <w:sz w:val="26"/>
                <w:rtl/>
              </w:rPr>
              <w:t>תחילה</w:t>
            </w:r>
          </w:p>
        </w:tc>
        <w:tc>
          <w:tcPr>
            <w:tcW w:w="624" w:type="dxa"/>
          </w:tcPr>
          <w:p w:rsidR="00020D78" w:rsidRDefault="00020D78" w:rsidP="006F65EB">
            <w:pPr>
              <w:pStyle w:val="TableText"/>
            </w:pPr>
            <w:r>
              <w:rPr>
                <w:rtl/>
              </w:rPr>
              <w:t>10.</w:t>
            </w:r>
          </w:p>
        </w:tc>
        <w:tc>
          <w:tcPr>
            <w:tcW w:w="7145" w:type="dxa"/>
            <w:gridSpan w:val="5"/>
          </w:tcPr>
          <w:p w:rsidR="00020D78" w:rsidRPr="0098404A" w:rsidRDefault="00020D78" w:rsidP="006F65EB">
            <w:pPr>
              <w:pStyle w:val="TableBlock"/>
            </w:pPr>
            <w:r w:rsidRPr="002B28E3">
              <w:rPr>
                <w:sz w:val="26"/>
                <w:rtl/>
              </w:rPr>
              <w:t xml:space="preserve">תחילתו של </w:t>
            </w:r>
            <w:r>
              <w:rPr>
                <w:sz w:val="26"/>
                <w:rtl/>
              </w:rPr>
              <w:t>חוק</w:t>
            </w:r>
            <w:r w:rsidRPr="002B28E3">
              <w:rPr>
                <w:sz w:val="26"/>
                <w:rtl/>
              </w:rPr>
              <w:t xml:space="preserve"> זה 30 ימים מיום פרסומו</w:t>
            </w:r>
            <w:r>
              <w:rPr>
                <w:sz w:val="26"/>
                <w:rtl/>
              </w:rPr>
              <w:t xml:space="preserve"> (להלן – יום התחילה)</w:t>
            </w:r>
            <w:r w:rsidRPr="002B28E3">
              <w:rPr>
                <w:sz w:val="26"/>
                <w:rtl/>
              </w:rPr>
              <w:t>.</w:t>
            </w:r>
          </w:p>
        </w:tc>
      </w:tr>
      <w:tr w:rsidR="00020D78" w:rsidRPr="0098404A" w:rsidTr="006F65EB">
        <w:tblPrEx>
          <w:tblCellMar>
            <w:top w:w="57" w:type="dxa"/>
            <w:left w:w="0" w:type="dxa"/>
            <w:bottom w:w="57" w:type="dxa"/>
            <w:right w:w="0" w:type="dxa"/>
          </w:tblCellMar>
        </w:tblPrEx>
        <w:trPr>
          <w:cantSplit/>
        </w:trPr>
        <w:tc>
          <w:tcPr>
            <w:tcW w:w="1869" w:type="dxa"/>
          </w:tcPr>
          <w:p w:rsidR="00020D78" w:rsidRPr="00EB617C" w:rsidRDefault="00020D78" w:rsidP="006F65EB">
            <w:pPr>
              <w:pStyle w:val="TableSideHeading"/>
            </w:pPr>
            <w:r>
              <w:rPr>
                <w:rtl/>
              </w:rPr>
              <w:t>הוראת מעבר</w:t>
            </w:r>
          </w:p>
        </w:tc>
        <w:tc>
          <w:tcPr>
            <w:tcW w:w="624" w:type="dxa"/>
          </w:tcPr>
          <w:p w:rsidR="00020D78" w:rsidRDefault="00020D78" w:rsidP="006F65EB">
            <w:pPr>
              <w:pStyle w:val="TableText"/>
            </w:pPr>
            <w:r>
              <w:rPr>
                <w:rtl/>
              </w:rPr>
              <w:t>11.</w:t>
            </w:r>
          </w:p>
        </w:tc>
        <w:tc>
          <w:tcPr>
            <w:tcW w:w="7145" w:type="dxa"/>
            <w:gridSpan w:val="5"/>
          </w:tcPr>
          <w:p w:rsidR="00020D78" w:rsidRPr="0098404A" w:rsidRDefault="00020D78" w:rsidP="006F65EB">
            <w:pPr>
              <w:pStyle w:val="TableBlock"/>
            </w:pPr>
            <w:r>
              <w:rPr>
                <w:sz w:val="26"/>
                <w:rtl/>
              </w:rPr>
              <w:t>רישיון שניתן למי שהתקיימו בו התנאים לפי סעיף 5 לפקודה, כנוסחו ערב יום התחילה, ובאותו מועד היה בר-תוקף, ובבעל הרישיון לא מתקיימים התנאים האמורים בסעיפים 5 ו-5א לפקודה, כנוסחם בסעיפים 2 ו-3 לחוק זה, יעמוד בתוקפו עד לתום שישה חודשים מיום התחילה</w:t>
            </w:r>
            <w:r>
              <w:rPr>
                <w:rtl/>
              </w:rPr>
              <w:t>.</w:t>
            </w:r>
          </w:p>
        </w:tc>
      </w:tr>
    </w:tbl>
    <w:p w:rsidR="00020D78" w:rsidRDefault="00020D78" w:rsidP="00020D78">
      <w:pPr>
        <w:pStyle w:val="HeadDivreiHesber"/>
        <w:rPr>
          <w:rtl/>
        </w:rPr>
      </w:pPr>
      <w:r>
        <w:rPr>
          <w:rtl/>
        </w:rPr>
        <w:t>דברי הסבר</w:t>
      </w:r>
    </w:p>
    <w:p w:rsidR="00020D78" w:rsidRPr="003F1688" w:rsidRDefault="00020D78" w:rsidP="00020D78">
      <w:pPr>
        <w:pStyle w:val="Hesber"/>
        <w:rPr>
          <w:rtl/>
        </w:rPr>
      </w:pPr>
      <w:r w:rsidRPr="003F1688">
        <w:rPr>
          <w:rtl/>
        </w:rPr>
        <w:t xml:space="preserve">העיתונות הכתובה היא אחד מעמודי התווך של קיומה של שיטת ממשל דמוקרטית ובעלת תפקיד מרכזי בה. זאת, הן בשל היותה מקור מידע והן בשל תפקידה בסיוע לציבור לגבש </w:t>
      </w:r>
      <w:proofErr w:type="spellStart"/>
      <w:r w:rsidRPr="003F1688">
        <w:rPr>
          <w:rtl/>
        </w:rPr>
        <w:t>דיעות</w:t>
      </w:r>
      <w:proofErr w:type="spellEnd"/>
      <w:r w:rsidRPr="003F1688">
        <w:rPr>
          <w:rtl/>
        </w:rPr>
        <w:t xml:space="preserve"> בהסתמך על דברי פרשנות, דעות וביקורת, הנכתבים בעיתונות. </w:t>
      </w:r>
    </w:p>
    <w:p w:rsidR="00020D78" w:rsidRPr="003F1688" w:rsidRDefault="00020D78" w:rsidP="00020D78">
      <w:pPr>
        <w:pStyle w:val="Hesber"/>
        <w:rPr>
          <w:rtl/>
        </w:rPr>
      </w:pPr>
      <w:r w:rsidRPr="003F1688">
        <w:rPr>
          <w:rtl/>
        </w:rPr>
        <w:t xml:space="preserve">קיומה של עיתונות חופשית, אחראית ומקצועית הינה בעלת חשיבות עליונה בשמירה על הדמוקרטיה. </w:t>
      </w:r>
    </w:p>
    <w:p w:rsidR="00020D78" w:rsidRPr="008C69A1" w:rsidRDefault="00020D78" w:rsidP="00020D78">
      <w:pPr>
        <w:pStyle w:val="Hesber"/>
        <w:rPr>
          <w:rtl/>
        </w:rPr>
      </w:pPr>
      <w:r w:rsidRPr="003F1688">
        <w:rPr>
          <w:rtl/>
        </w:rPr>
        <w:t xml:space="preserve">בשל כוחה של העיתונות הכתובה, אין חולק כי השליטה במערכת עיתון מהווה מוקד כוח ועלולה לשמש ככלי רב עוצמה והשפעה בידי גורמים שונים, לרבות גורמים עוינים למדינה. </w:t>
      </w:r>
    </w:p>
    <w:p w:rsidR="00020D78" w:rsidRPr="003F1688" w:rsidRDefault="00020D78" w:rsidP="00020D78">
      <w:pPr>
        <w:pStyle w:val="Hesber"/>
        <w:rPr>
          <w:rtl/>
        </w:rPr>
      </w:pPr>
      <w:r w:rsidRPr="003F1688">
        <w:rPr>
          <w:rtl/>
        </w:rPr>
        <w:t>הניסיון מלמד, כי לבעל השליטה בעיתון עשויה להיות השפעה מכרעת על איכותו של העיתון ותכניו, לרבות אפשרות להשפעה משמעותית על מדיניות עריכת העיתון, וזאת בין היתר באמצעות מינוי בעלי תפקידים בכירים בו ומימון פעילות העיתון.</w:t>
      </w:r>
    </w:p>
    <w:p w:rsidR="00020D78" w:rsidRPr="003F1688" w:rsidRDefault="00020D78" w:rsidP="00020D78">
      <w:pPr>
        <w:pStyle w:val="Hesber"/>
        <w:rPr>
          <w:rtl/>
        </w:rPr>
      </w:pPr>
      <w:r w:rsidRPr="008C69A1">
        <w:rPr>
          <w:rtl/>
        </w:rPr>
        <w:t xml:space="preserve"> </w:t>
      </w:r>
      <w:r w:rsidRPr="003F1688">
        <w:rPr>
          <w:rtl/>
        </w:rPr>
        <w:t xml:space="preserve">בידיו של בעל שליטה בעיתון ובידי עורך עיתון קיימת היכולת להשפיע בין היתר על סדר היום התקשורתי, המשפיע על סדר היום המדיני, הכלכלי והחברתי במדינה כמו גם על תחומים אחרים הנוגעים לכלל אזרחי ותושבי המדינה. </w:t>
      </w:r>
    </w:p>
    <w:p w:rsidR="00020D78" w:rsidRPr="003F1688" w:rsidRDefault="00020D78" w:rsidP="00020D78">
      <w:pPr>
        <w:pStyle w:val="Hesber"/>
        <w:rPr>
          <w:rtl/>
        </w:rPr>
      </w:pPr>
      <w:r w:rsidRPr="003F1688">
        <w:rPr>
          <w:rtl/>
        </w:rPr>
        <w:t xml:space="preserve">הוועדה הציבורית לחוקי העיתונות בראשות מר חיים צדוק, שדנה בתחום העיתונות הכתובה בישראל והגישה את מסקנותיה בספטמבר 1997 (להלן – "הועדה הציבורית"), מצאה </w:t>
      </w:r>
      <w:r w:rsidRPr="003F1688">
        <w:rPr>
          <w:rtl/>
        </w:rPr>
        <w:lastRenderedPageBreak/>
        <w:t xml:space="preserve">שההחלטות לגבי מדיניות עריכה בעיתון מחייבות אחריות רבה, רגישות רבה, בקיאות רבה ומחויבות עמוקה למדינה, לאזרחיה ולתושביה. בהתאם לכך, המליצה הועדה כי עורך עיתון רב תפוצה לא יהיה אלא תושב קבע בישראל. </w:t>
      </w:r>
    </w:p>
    <w:p w:rsidR="00020D78" w:rsidRPr="003F1688" w:rsidRDefault="00020D78" w:rsidP="00020D78">
      <w:pPr>
        <w:pStyle w:val="Hesber"/>
        <w:rPr>
          <w:rtl/>
        </w:rPr>
      </w:pPr>
      <w:r w:rsidRPr="003F1688">
        <w:rPr>
          <w:rtl/>
        </w:rPr>
        <w:t>הסמכויות הקיימות כיום מכוח פקודת העיתונות ותקנות ההגנה (שעת חירום), 1945, למניעת הוצאתו לאור של עיתון או למניעת המשך הופעתו על סמך תכנים המופיעים בו זכו לביקורת. זאת, בין היתר, בטענה שאין זה ראוי שהפעלת סמכות שכזו, והענקת שיקול דעת כה רחב, יהיו בידי רשות שלטונית, שמא תעשה הרשות השלטונית שימוש בסמכות זו על מנת למנוע פרסומם של ידיעות שאינן עולות בקנה אחד עם מניעיה הפוליטיים.</w:t>
      </w:r>
    </w:p>
    <w:p w:rsidR="00020D78" w:rsidRPr="003F1688" w:rsidRDefault="00020D78" w:rsidP="00020D78">
      <w:pPr>
        <w:pStyle w:val="Hesber"/>
        <w:rPr>
          <w:rtl/>
        </w:rPr>
      </w:pPr>
      <w:r w:rsidRPr="003F1688">
        <w:rPr>
          <w:rtl/>
        </w:rPr>
        <w:t xml:space="preserve">לפיכך, מוצע לעגן בחקיקה ראשית מגבלות שיחולו על בעל שליטה בעיתון ועל עורך עיתון, וזאת בהתאם להמלצות הוועדה הציבורית, בשינויים המחויבים. </w:t>
      </w:r>
    </w:p>
    <w:p w:rsidR="00020D78" w:rsidRPr="003F1688" w:rsidRDefault="00020D78" w:rsidP="00020D78">
      <w:pPr>
        <w:pStyle w:val="Hesber"/>
        <w:rPr>
          <w:rtl/>
        </w:rPr>
      </w:pPr>
      <w:r w:rsidRPr="003F1688">
        <w:rPr>
          <w:rtl/>
        </w:rPr>
        <w:t xml:space="preserve">כיום חלות מגבלות דומות, מכוח </w:t>
      </w:r>
      <w:proofErr w:type="spellStart"/>
      <w:r w:rsidRPr="003F1688">
        <w:rPr>
          <w:rtl/>
        </w:rPr>
        <w:t>רציונאלים</w:t>
      </w:r>
      <w:proofErr w:type="spellEnd"/>
      <w:r w:rsidRPr="003F1688">
        <w:rPr>
          <w:rtl/>
        </w:rPr>
        <w:t xml:space="preserve"> דומים, על בעלי שליטה באמצעי תקשורת אלקטרוניים שהינם אמצעי תקשורת בעלי מידת השפעה קטנה או זהה לזו של עיתונים ביכולת ההשפעה על דעת קהל הקוראים. מגבלות דומות חלות על בעלי זיכיונות לשידורי רדיו וטלוויזיה הניתנים מכוח הוראות חוק הרשות השנייה לטלוויזיה ורדיו, </w:t>
      </w:r>
      <w:proofErr w:type="spellStart"/>
      <w:r w:rsidRPr="003F1688">
        <w:rPr>
          <w:rtl/>
        </w:rPr>
        <w:t>התש"ן</w:t>
      </w:r>
      <w:proofErr w:type="spellEnd"/>
      <w:r w:rsidRPr="003F1688">
        <w:rPr>
          <w:rtl/>
        </w:rPr>
        <w:t xml:space="preserve"> – 1990 וכן על מקבלי רישיונות לשידורי כבלים, שידורי לווין והפקת חדשות הניתנים מכוח חוק התקשורת (בזק ושידורים), </w:t>
      </w:r>
      <w:proofErr w:type="spellStart"/>
      <w:r w:rsidRPr="003F1688">
        <w:rPr>
          <w:rtl/>
        </w:rPr>
        <w:t>התשמ"ב</w:t>
      </w:r>
      <w:proofErr w:type="spellEnd"/>
      <w:r w:rsidRPr="003F1688">
        <w:rPr>
          <w:rtl/>
        </w:rPr>
        <w:t xml:space="preserve"> –</w:t>
      </w:r>
      <w:proofErr w:type="spellStart"/>
      <w:r w:rsidRPr="003F1688">
        <w:rPr>
          <w:rtl/>
        </w:rPr>
        <w:t>1982</w:t>
      </w:r>
      <w:proofErr w:type="spellEnd"/>
      <w:r w:rsidRPr="003F1688">
        <w:rPr>
          <w:rtl/>
        </w:rPr>
        <w:t xml:space="preserve">.לפי הוראות החוקים האמורים, נדרש כי בעל זיכיון ובעל רישיון לפי העניין, לא יהיה אלא אזרח ותושב ישראל או תאגיד הרשום בישראל שהשליטה בו נתונה בידי אזרח או תושב ישראלי או בידי תאגיד הרשום בישראל. </w:t>
      </w:r>
    </w:p>
    <w:p w:rsidR="00020D78" w:rsidRPr="003F1688" w:rsidRDefault="00020D78" w:rsidP="00020D78">
      <w:pPr>
        <w:pStyle w:val="Hesber"/>
        <w:rPr>
          <w:rtl/>
        </w:rPr>
      </w:pPr>
      <w:r w:rsidRPr="003F1688">
        <w:rPr>
          <w:rtl/>
        </w:rPr>
        <w:t xml:space="preserve">עיקריה של הצעת חוק זו דומים להמלצות דו"ח הועדה הציבורית, שמונתה לצורך בחינת ההסדרים החוקיים בענייני העיתונות הכתובה בישראל ולצורך המלצה בדבר הסדרים חקיקתיים נדרשים. </w:t>
      </w:r>
    </w:p>
    <w:p w:rsidR="00020D78" w:rsidRPr="008C69A1" w:rsidRDefault="00020D78" w:rsidP="00020D78">
      <w:pPr>
        <w:pStyle w:val="Hesber"/>
        <w:rPr>
          <w:rtl/>
        </w:rPr>
      </w:pPr>
      <w:r w:rsidRPr="003F1688">
        <w:rPr>
          <w:rtl/>
        </w:rPr>
        <w:t>הועדה הציבורית המליצה על ביטול דרישת הרישוי של עיתונים כתנאי מוקדם להוצאה לאור של עיתון וכן על ביטול הסמכות לסגור עיתונים לצמיתות באמצעות ביטול הרישיון, בשונה מהאמור בהצעת החוק אך הבחינה בין סוגיית הרישוי לבין סוגיות הכרוכות בתנאי כשירויות נדרשים של עורך העיתון ובעל השליטה בעיתון אליהן מתייחסת הצעת החוק.</w:t>
      </w:r>
    </w:p>
    <w:p w:rsidR="00020D78" w:rsidRPr="003F1688" w:rsidRDefault="00020D78" w:rsidP="00020D78">
      <w:pPr>
        <w:pStyle w:val="Hesber"/>
        <w:rPr>
          <w:rtl/>
        </w:rPr>
      </w:pPr>
      <w:r w:rsidRPr="003F1688">
        <w:rPr>
          <w:rtl/>
        </w:rPr>
        <w:t xml:space="preserve">בנוסף להמלצה לביטול דרישת הרישוי, המליצה הוועדה לקבוע במסגרת החוק  תנאי כשירות לעורך עיתון ולבעל שליטה בעיתון הדומים לתנאי הכשירות האמורים בהצעת החוק. מוצע להחיל תנאי כשירויות אלה באמצעות חובת הרישוי החלה מכוח פקודת העיתונות, וזאת </w:t>
      </w:r>
      <w:r w:rsidRPr="003F1688">
        <w:rPr>
          <w:rtl/>
        </w:rPr>
        <w:lastRenderedPageBreak/>
        <w:t xml:space="preserve">עד לחקיקת הסדר מקיף בתחום הסדרת העיתונות. הועדה הציבורית הכירה בצורך להחיל על בעלי שליטה בעיתונים מגבלות הדומות למגבלות החלות על בעלי שליטה באמצעי תקשורת אלקטרוניים וקבעה, וכי ראוי שהמגבלות יחולו באופן  אחיד בכל תחום התקשורת. </w:t>
      </w:r>
    </w:p>
    <w:p w:rsidR="00020D78" w:rsidRDefault="00020D78" w:rsidP="00020D78">
      <w:pPr>
        <w:pStyle w:val="Hesber"/>
        <w:rPr>
          <w:rtl/>
        </w:rPr>
      </w:pPr>
    </w:p>
    <w:p w:rsidR="00020D78" w:rsidRDefault="00020D78" w:rsidP="00020D78">
      <w:pPr>
        <w:rPr>
          <w:rtl/>
        </w:rPr>
      </w:pPr>
    </w:p>
    <w:p w:rsidR="00020D78" w:rsidRDefault="00020D78" w:rsidP="00020D78">
      <w:pPr>
        <w:rPr>
          <w:rtl/>
        </w:rPr>
      </w:pPr>
    </w:p>
    <w:p w:rsidR="00020D78" w:rsidRDefault="00020D78" w:rsidP="00020D78">
      <w:pPr>
        <w:rPr>
          <w:rtl/>
        </w:rPr>
      </w:pPr>
    </w:p>
    <w:p w:rsidR="00020D78" w:rsidRDefault="00020D78" w:rsidP="00020D78">
      <w:pPr>
        <w:rPr>
          <w:rtl/>
        </w:rPr>
      </w:pPr>
    </w:p>
    <w:p w:rsidR="00020D78" w:rsidRDefault="00020D78" w:rsidP="00020D78">
      <w:pPr>
        <w:rPr>
          <w:rtl/>
        </w:rPr>
      </w:pPr>
    </w:p>
    <w:p w:rsidR="00020D78" w:rsidRDefault="00020D78" w:rsidP="00020D78">
      <w:pPr>
        <w:pStyle w:val="Hesber"/>
        <w:rPr>
          <w:rFonts w:ascii="David" w:hAnsi="David"/>
          <w:sz w:val="26"/>
          <w:rtl/>
        </w:rPr>
      </w:pPr>
      <w:r>
        <w:rPr>
          <w:rFonts w:ascii="David" w:hAnsi="David"/>
          <w:sz w:val="26"/>
          <w:rtl/>
        </w:rPr>
        <w:t>---------------------------------</w:t>
      </w:r>
    </w:p>
    <w:p w:rsidR="00020D78" w:rsidRDefault="00020D78" w:rsidP="00020D78">
      <w:pPr>
        <w:pStyle w:val="Hesber"/>
        <w:rPr>
          <w:rFonts w:ascii="David" w:hAnsi="David"/>
          <w:sz w:val="26"/>
          <w:rtl/>
        </w:rPr>
      </w:pPr>
      <w:r>
        <w:rPr>
          <w:rFonts w:ascii="David" w:hAnsi="David" w:hint="eastAsia"/>
          <w:sz w:val="26"/>
          <w:rtl/>
        </w:rPr>
        <w:t>הוגשה</w:t>
      </w:r>
      <w:r>
        <w:rPr>
          <w:rFonts w:ascii="David" w:hAnsi="David"/>
          <w:sz w:val="26"/>
          <w:rtl/>
        </w:rPr>
        <w:t xml:space="preserve"> </w:t>
      </w:r>
      <w:r>
        <w:rPr>
          <w:rFonts w:ascii="David" w:hAnsi="David" w:hint="eastAsia"/>
          <w:sz w:val="26"/>
          <w:rtl/>
        </w:rPr>
        <w:t>ליו</w:t>
      </w:r>
      <w:r>
        <w:rPr>
          <w:rFonts w:ascii="David" w:hAnsi="David"/>
          <w:sz w:val="26"/>
          <w:rtl/>
        </w:rPr>
        <w:t>"</w:t>
      </w:r>
      <w:r>
        <w:rPr>
          <w:rFonts w:ascii="David" w:hAnsi="David" w:hint="eastAsia"/>
          <w:sz w:val="26"/>
          <w:rtl/>
        </w:rPr>
        <w:t>ר</w:t>
      </w:r>
      <w:r>
        <w:rPr>
          <w:rFonts w:ascii="David" w:hAnsi="David"/>
          <w:sz w:val="26"/>
          <w:rtl/>
        </w:rPr>
        <w:t xml:space="preserve"> </w:t>
      </w:r>
      <w:r>
        <w:rPr>
          <w:rFonts w:ascii="David" w:hAnsi="David" w:hint="eastAsia"/>
          <w:sz w:val="26"/>
          <w:rtl/>
        </w:rPr>
        <w:t>הכנסת</w:t>
      </w:r>
      <w:r>
        <w:rPr>
          <w:rFonts w:ascii="David" w:hAnsi="David"/>
          <w:sz w:val="26"/>
          <w:rtl/>
        </w:rPr>
        <w:t xml:space="preserve"> </w:t>
      </w:r>
      <w:r>
        <w:rPr>
          <w:rFonts w:ascii="David" w:hAnsi="David" w:hint="eastAsia"/>
          <w:sz w:val="26"/>
          <w:rtl/>
        </w:rPr>
        <w:t>והסגנים</w:t>
      </w:r>
    </w:p>
    <w:p w:rsidR="00020D78" w:rsidRDefault="00020D78" w:rsidP="00020D78">
      <w:pPr>
        <w:pStyle w:val="Hesber"/>
        <w:rPr>
          <w:rFonts w:ascii="David" w:hAnsi="David"/>
          <w:sz w:val="26"/>
          <w:rtl/>
        </w:rPr>
      </w:pPr>
      <w:r>
        <w:rPr>
          <w:rFonts w:ascii="David" w:hAnsi="David" w:hint="eastAsia"/>
          <w:sz w:val="26"/>
          <w:rtl/>
        </w:rPr>
        <w:t>והונחה</w:t>
      </w:r>
      <w:r>
        <w:rPr>
          <w:rFonts w:ascii="David" w:hAnsi="David"/>
          <w:sz w:val="26"/>
          <w:rtl/>
        </w:rPr>
        <w:t xml:space="preserve"> </w:t>
      </w:r>
      <w:r>
        <w:rPr>
          <w:rFonts w:ascii="David" w:hAnsi="David" w:hint="eastAsia"/>
          <w:sz w:val="26"/>
          <w:rtl/>
        </w:rPr>
        <w:t>על</w:t>
      </w:r>
      <w:r>
        <w:rPr>
          <w:rFonts w:ascii="David" w:hAnsi="David"/>
          <w:sz w:val="26"/>
          <w:rtl/>
        </w:rPr>
        <w:t xml:space="preserve"> </w:t>
      </w:r>
      <w:r>
        <w:rPr>
          <w:rFonts w:ascii="David" w:hAnsi="David" w:hint="eastAsia"/>
          <w:sz w:val="26"/>
          <w:rtl/>
        </w:rPr>
        <w:t>שולחן</w:t>
      </w:r>
      <w:r>
        <w:rPr>
          <w:rFonts w:ascii="David" w:hAnsi="David"/>
          <w:sz w:val="26"/>
          <w:rtl/>
        </w:rPr>
        <w:t xml:space="preserve"> </w:t>
      </w:r>
      <w:r>
        <w:rPr>
          <w:rFonts w:ascii="David" w:hAnsi="David" w:hint="eastAsia"/>
          <w:sz w:val="26"/>
          <w:rtl/>
        </w:rPr>
        <w:t>הכנסת</w:t>
      </w:r>
      <w:r>
        <w:rPr>
          <w:rFonts w:ascii="David" w:hAnsi="David"/>
          <w:sz w:val="26"/>
          <w:rtl/>
        </w:rPr>
        <w:t xml:space="preserve"> </w:t>
      </w:r>
      <w:r>
        <w:rPr>
          <w:rFonts w:ascii="David" w:hAnsi="David" w:hint="eastAsia"/>
          <w:sz w:val="26"/>
          <w:rtl/>
        </w:rPr>
        <w:t>ביום</w:t>
      </w:r>
    </w:p>
    <w:p w:rsidR="00020D78" w:rsidRPr="004F0242" w:rsidRDefault="00020D78" w:rsidP="00020D78">
      <w:pPr>
        <w:pStyle w:val="Hesber"/>
        <w:rPr>
          <w:rFonts w:ascii="David" w:hAnsi="David"/>
          <w:sz w:val="26"/>
          <w:rtl/>
        </w:rPr>
      </w:pPr>
      <w:r>
        <w:rPr>
          <w:rFonts w:ascii="David" w:hAnsi="David" w:hint="eastAsia"/>
          <w:sz w:val="26"/>
          <w:rtl/>
        </w:rPr>
        <w:t>ג</w:t>
      </w:r>
      <w:r>
        <w:rPr>
          <w:rFonts w:ascii="David" w:hAnsi="David"/>
          <w:sz w:val="26"/>
          <w:rtl/>
        </w:rPr>
        <w:t xml:space="preserve">' </w:t>
      </w:r>
      <w:r>
        <w:rPr>
          <w:rFonts w:ascii="David" w:hAnsi="David" w:hint="eastAsia"/>
          <w:sz w:val="26"/>
          <w:rtl/>
        </w:rPr>
        <w:t>בשבט</w:t>
      </w:r>
      <w:r>
        <w:rPr>
          <w:rFonts w:ascii="David" w:hAnsi="David"/>
          <w:sz w:val="26"/>
          <w:rtl/>
        </w:rPr>
        <w:t xml:space="preserve"> </w:t>
      </w:r>
      <w:proofErr w:type="spellStart"/>
      <w:r>
        <w:rPr>
          <w:rFonts w:ascii="David" w:hAnsi="David" w:hint="eastAsia"/>
          <w:sz w:val="26"/>
          <w:rtl/>
        </w:rPr>
        <w:t>התש</w:t>
      </w:r>
      <w:r>
        <w:rPr>
          <w:rFonts w:ascii="David" w:hAnsi="David"/>
          <w:sz w:val="26"/>
          <w:rtl/>
        </w:rPr>
        <w:t>"</w:t>
      </w:r>
      <w:r>
        <w:rPr>
          <w:rFonts w:ascii="David" w:hAnsi="David" w:hint="eastAsia"/>
          <w:sz w:val="26"/>
          <w:rtl/>
        </w:rPr>
        <w:t>ע</w:t>
      </w:r>
      <w:proofErr w:type="spellEnd"/>
      <w:r>
        <w:rPr>
          <w:rFonts w:ascii="David" w:hAnsi="David"/>
          <w:sz w:val="26"/>
          <w:rtl/>
        </w:rPr>
        <w:t xml:space="preserve"> – 18.1.10</w:t>
      </w:r>
    </w:p>
    <w:p w:rsidR="00A95E42" w:rsidRPr="00020D78" w:rsidRDefault="00A95E42" w:rsidP="00020D78"/>
    <w:sectPr w:rsidR="00A95E42" w:rsidRPr="00020D78"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37" w:rsidRDefault="00436837" w:rsidP="00E22E48">
      <w:pPr>
        <w:spacing w:before="0" w:line="240" w:lineRule="auto"/>
      </w:pPr>
      <w:r>
        <w:separator/>
      </w:r>
    </w:p>
  </w:endnote>
  <w:endnote w:type="continuationSeparator" w:id="0">
    <w:p w:rsidR="00436837" w:rsidRDefault="00436837"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2816BF">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020D78">
      <w:rPr>
        <w:rStyle w:val="a8"/>
        <w:noProof/>
        <w:rtl/>
      </w:rPr>
      <w:t>6</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37" w:rsidRDefault="00436837" w:rsidP="00E22E48">
      <w:pPr>
        <w:spacing w:before="0" w:line="240" w:lineRule="auto"/>
      </w:pPr>
      <w:r>
        <w:separator/>
      </w:r>
    </w:p>
  </w:footnote>
  <w:footnote w:type="continuationSeparator" w:id="0">
    <w:p w:rsidR="00436837" w:rsidRDefault="00436837" w:rsidP="00E22E48">
      <w:pPr>
        <w:spacing w:before="0" w:line="240" w:lineRule="auto"/>
      </w:pPr>
      <w:r>
        <w:continuationSeparator/>
      </w:r>
    </w:p>
  </w:footnote>
  <w:footnote w:id="1">
    <w:p w:rsidR="00020D78" w:rsidRDefault="00020D78" w:rsidP="00020D78">
      <w:pPr>
        <w:pStyle w:val="a3"/>
      </w:pPr>
      <w:r>
        <w:rPr>
          <w:rStyle w:val="a5"/>
          <w:rFonts w:cs="David"/>
        </w:rPr>
        <w:footnoteRef/>
      </w:r>
      <w:r>
        <w:rPr>
          <w:rtl/>
        </w:rPr>
        <w:t xml:space="preserve"> </w:t>
      </w:r>
      <w:r>
        <w:rPr>
          <w:rtl/>
          <w:lang w:eastAsia="he-IL"/>
        </w:rPr>
        <w:t xml:space="preserve">דיני מדינת ישראל, נוסח חדש 18, </w:t>
      </w:r>
      <w:proofErr w:type="spellStart"/>
      <w:r>
        <w:rPr>
          <w:rtl/>
          <w:lang w:eastAsia="he-IL"/>
        </w:rPr>
        <w:t>עמ</w:t>
      </w:r>
      <w:proofErr w:type="spellEnd"/>
      <w:r>
        <w:rPr>
          <w:rtl/>
          <w:lang w:eastAsia="he-IL"/>
        </w:rPr>
        <w:t>' 421.</w:t>
      </w:r>
    </w:p>
  </w:footnote>
  <w:footnote w:id="2">
    <w:p w:rsidR="00020D78" w:rsidRDefault="00020D78" w:rsidP="00020D78">
      <w:pPr>
        <w:pStyle w:val="a3"/>
      </w:pPr>
      <w:r>
        <w:rPr>
          <w:rStyle w:val="a5"/>
          <w:rFonts w:cs="David"/>
        </w:rPr>
        <w:footnoteRef/>
      </w:r>
      <w:r>
        <w:rPr>
          <w:rtl/>
        </w:rPr>
        <w:t xml:space="preserve"> </w:t>
      </w:r>
      <w:r>
        <w:rPr>
          <w:rtl/>
        </w:rPr>
        <w:t xml:space="preserve">ס"ח </w:t>
      </w:r>
      <w:proofErr w:type="spellStart"/>
      <w:r>
        <w:rPr>
          <w:rtl/>
        </w:rPr>
        <w:t>התשי"ב</w:t>
      </w:r>
      <w:proofErr w:type="spellEnd"/>
      <w:r>
        <w:rPr>
          <w:rtl/>
        </w:rPr>
        <w:t xml:space="preserve">, </w:t>
      </w:r>
      <w:proofErr w:type="spellStart"/>
      <w:r>
        <w:rPr>
          <w:rtl/>
        </w:rPr>
        <w:t>עמ</w:t>
      </w:r>
      <w:proofErr w:type="spellEnd"/>
      <w:r>
        <w:rPr>
          <w:rtl/>
        </w:rPr>
        <w:t>' 146.</w:t>
      </w:r>
    </w:p>
  </w:footnote>
  <w:footnote w:id="3">
    <w:p w:rsidR="00020D78" w:rsidRDefault="00020D78" w:rsidP="00020D78">
      <w:pPr>
        <w:pStyle w:val="a3"/>
      </w:pPr>
      <w:r>
        <w:rPr>
          <w:rStyle w:val="a5"/>
          <w:rFonts w:cs="David"/>
        </w:rPr>
        <w:footnoteRef/>
      </w:r>
      <w:r>
        <w:rPr>
          <w:rtl/>
        </w:rPr>
        <w:t xml:space="preserve"> </w:t>
      </w:r>
      <w:r>
        <w:rPr>
          <w:rtl/>
        </w:rPr>
        <w:t xml:space="preserve">ס"ח </w:t>
      </w:r>
      <w:proofErr w:type="spellStart"/>
      <w:r>
        <w:rPr>
          <w:rtl/>
        </w:rPr>
        <w:t>התשכ"ח</w:t>
      </w:r>
      <w:proofErr w:type="spellEnd"/>
      <w:r>
        <w:rPr>
          <w:rtl/>
        </w:rPr>
        <w:t xml:space="preserve">, </w:t>
      </w:r>
      <w:proofErr w:type="spellStart"/>
      <w:r>
        <w:rPr>
          <w:rtl/>
        </w:rPr>
        <w:t>עמ</w:t>
      </w:r>
      <w:proofErr w:type="spellEnd"/>
      <w:r>
        <w:rPr>
          <w:rtl/>
        </w:rPr>
        <w:t>' 234.</w:t>
      </w:r>
    </w:p>
  </w:footnote>
  <w:footnote w:id="4">
    <w:p w:rsidR="00020D78" w:rsidRDefault="00020D78" w:rsidP="00020D78">
      <w:pPr>
        <w:pStyle w:val="a3"/>
      </w:pPr>
      <w:r>
        <w:rPr>
          <w:rStyle w:val="a5"/>
          <w:rFonts w:cs="David"/>
        </w:rPr>
        <w:footnoteRef/>
      </w:r>
      <w:r>
        <w:rPr>
          <w:rtl/>
        </w:rPr>
        <w:t xml:space="preserve"> </w:t>
      </w:r>
      <w:r>
        <w:rPr>
          <w:rtl/>
        </w:rPr>
        <w:t xml:space="preserve">ס"ח </w:t>
      </w:r>
      <w:proofErr w:type="spellStart"/>
      <w:r>
        <w:rPr>
          <w:rtl/>
        </w:rPr>
        <w:t>התשכ"ה</w:t>
      </w:r>
      <w:proofErr w:type="spellEnd"/>
      <w:r>
        <w:rPr>
          <w:rtl/>
        </w:rPr>
        <w:t xml:space="preserve">, </w:t>
      </w:r>
      <w:proofErr w:type="spellStart"/>
      <w:r>
        <w:rPr>
          <w:rtl/>
        </w:rPr>
        <w:t>עמ</w:t>
      </w:r>
      <w:proofErr w:type="spellEnd"/>
      <w:r>
        <w:rPr>
          <w:rtl/>
        </w:rPr>
        <w:t>' 207.</w:t>
      </w:r>
    </w:p>
  </w:footnote>
  <w:footnote w:id="5">
    <w:p w:rsidR="00020D78" w:rsidRDefault="00020D78" w:rsidP="00020D78">
      <w:pPr>
        <w:pStyle w:val="a3"/>
      </w:pPr>
      <w:r>
        <w:rPr>
          <w:rStyle w:val="a5"/>
          <w:rFonts w:cs="David"/>
        </w:rPr>
        <w:footnoteRef/>
      </w:r>
      <w:r>
        <w:rPr>
          <w:rtl/>
        </w:rPr>
        <w:t xml:space="preserve"> </w:t>
      </w:r>
      <w:r>
        <w:rPr>
          <w:rtl/>
        </w:rPr>
        <w:t xml:space="preserve">ס"ח </w:t>
      </w:r>
      <w:proofErr w:type="spellStart"/>
      <w:r>
        <w:rPr>
          <w:rtl/>
        </w:rPr>
        <w:t>התשי"ב</w:t>
      </w:r>
      <w:proofErr w:type="spellEnd"/>
      <w:r>
        <w:rPr>
          <w:rtl/>
        </w:rPr>
        <w:t xml:space="preserve"> </w:t>
      </w:r>
      <w:proofErr w:type="spellStart"/>
      <w:r>
        <w:rPr>
          <w:rtl/>
        </w:rPr>
        <w:t>עמ</w:t>
      </w:r>
      <w:proofErr w:type="spellEnd"/>
      <w:r>
        <w:rPr>
          <w:rtl/>
        </w:rPr>
        <w:t>' 354.</w:t>
      </w:r>
    </w:p>
  </w:footnote>
  <w:footnote w:id="6">
    <w:p w:rsidR="00020D78" w:rsidRDefault="00020D78" w:rsidP="00020D78">
      <w:pPr>
        <w:pStyle w:val="a3"/>
      </w:pPr>
      <w:r>
        <w:rPr>
          <w:rStyle w:val="a5"/>
          <w:rFonts w:cs="David"/>
        </w:rPr>
        <w:footnoteRef/>
      </w:r>
      <w:r>
        <w:rPr>
          <w:rtl/>
        </w:rPr>
        <w:t xml:space="preserve"> </w:t>
      </w:r>
      <w:r>
        <w:rPr>
          <w:rtl/>
        </w:rPr>
        <w:t xml:space="preserve">ס"ח </w:t>
      </w:r>
      <w:proofErr w:type="spellStart"/>
      <w:r>
        <w:rPr>
          <w:rtl/>
        </w:rPr>
        <w:t>התשנ"ט</w:t>
      </w:r>
      <w:proofErr w:type="spellEnd"/>
      <w:r>
        <w:rPr>
          <w:rtl/>
        </w:rPr>
        <w:t xml:space="preserve">, </w:t>
      </w:r>
      <w:proofErr w:type="spellStart"/>
      <w:r>
        <w:rPr>
          <w:rtl/>
        </w:rPr>
        <w:t>עמ</w:t>
      </w:r>
      <w:proofErr w:type="spellEnd"/>
      <w:r>
        <w:rPr>
          <w:rtl/>
        </w:rPr>
        <w:t>' 187.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D78"/>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044"/>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6BF"/>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837"/>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06B7E"/>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6F73"/>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aliases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uiPriority w:val="99"/>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TableInnerSideHeading">
    <w:name w:val="Table InnerSideHeading"/>
    <w:basedOn w:val="TableSideHeading"/>
    <w:uiPriority w:val="99"/>
    <w:rsid w:val="00251044"/>
    <w:rPr>
      <w:rFonts w:cs="David"/>
    </w:rPr>
  </w:style>
  <w:style w:type="paragraph" w:customStyle="1" w:styleId="Noparagraphstyle">
    <w:name w:val="[No paragraph style]"/>
    <w:uiPriority w:val="99"/>
    <w:rsid w:val="00251044"/>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paragraph" w:customStyle="1" w:styleId="TableBlockOutdent">
    <w:name w:val="Table BlockOutdent"/>
    <w:basedOn w:val="TableBlock"/>
    <w:uiPriority w:val="99"/>
    <w:rsid w:val="00020D78"/>
    <w:pPr>
      <w:ind w:left="624" w:hanging="624"/>
    </w:pPr>
    <w:rPr>
      <w:rFonts w:cs="Dav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1219</Words>
  <Characters>6096</Characters>
  <Application>Microsoft Office Word</Application>
  <DocSecurity>0</DocSecurity>
  <Lines>50</Lines>
  <Paragraphs>14</Paragraphs>
  <ScaleCrop>false</ScaleCrop>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8</cp:revision>
  <dcterms:created xsi:type="dcterms:W3CDTF">2012-12-28T12:19:00Z</dcterms:created>
  <dcterms:modified xsi:type="dcterms:W3CDTF">2013-02-27T00:59:00Z</dcterms:modified>
</cp:coreProperties>
</file>