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48" w:rsidRDefault="00E22E48" w:rsidP="00E22E48">
      <w:pPr>
        <w:pStyle w:val="HeadHatzaotHok"/>
        <w:rPr>
          <w:rFonts w:cs="David"/>
          <w:sz w:val="28"/>
          <w:szCs w:val="28"/>
          <w:rtl/>
        </w:rPr>
      </w:pPr>
      <w:r>
        <w:rPr>
          <w:rFonts w:cs="David"/>
          <w:sz w:val="28"/>
          <w:szCs w:val="28"/>
          <w:rtl/>
        </w:rPr>
        <w:t xml:space="preserve">הכנסת </w:t>
      </w:r>
      <w:bookmarkStart w:id="0" w:name="KnessetNum"/>
      <w:r>
        <w:rPr>
          <w:rFonts w:cs="David"/>
          <w:sz w:val="28"/>
          <w:szCs w:val="28"/>
          <w:rtl/>
        </w:rPr>
        <w:t>השמונה-עשרה</w:t>
      </w:r>
      <w:bookmarkEnd w:id="0"/>
    </w:p>
    <w:p w:rsidR="00E22E48" w:rsidRDefault="00E22E48" w:rsidP="00E22E48">
      <w:pPr>
        <w:rPr>
          <w:rFonts w:cs="David"/>
          <w:sz w:val="26"/>
          <w:szCs w:val="26"/>
          <w:rtl/>
        </w:rPr>
      </w:pPr>
    </w:p>
    <w:p w:rsidR="00E22E48" w:rsidRDefault="00E22E48" w:rsidP="00E22E48">
      <w:pPr>
        <w:pStyle w:val="David"/>
        <w:ind w:left="2880" w:firstLine="720"/>
        <w:rPr>
          <w:rFonts w:cs="David"/>
          <w:b/>
          <w:bCs/>
        </w:rPr>
      </w:pPr>
      <w:r>
        <w:rPr>
          <w:rFonts w:cs="David" w:hint="cs"/>
          <w:rtl/>
        </w:rPr>
        <w:t>הצעת</w:t>
      </w:r>
      <w:r>
        <w:rPr>
          <w:rFonts w:cs="David"/>
          <w:rtl/>
        </w:rPr>
        <w:t xml:space="preserve"> </w:t>
      </w:r>
      <w:r>
        <w:rPr>
          <w:rFonts w:cs="David" w:hint="cs"/>
          <w:rtl/>
        </w:rPr>
        <w:t>חוק</w:t>
      </w:r>
      <w:r>
        <w:rPr>
          <w:rFonts w:cs="David"/>
          <w:rtl/>
        </w:rPr>
        <w:t xml:space="preserve"> </w:t>
      </w:r>
      <w:r>
        <w:rPr>
          <w:rFonts w:cs="David" w:hint="cs"/>
          <w:rtl/>
        </w:rPr>
        <w:t>של</w:t>
      </w:r>
      <w:r>
        <w:rPr>
          <w:rFonts w:cs="David"/>
          <w:rtl/>
        </w:rPr>
        <w:t xml:space="preserve">  </w:t>
      </w:r>
      <w:bookmarkStart w:id="1" w:name="MKsSingleOrMulti"/>
      <w:r>
        <w:rPr>
          <w:rFonts w:cs="David" w:hint="cs"/>
          <w:rtl/>
        </w:rPr>
        <w:t>חברי</w:t>
      </w:r>
      <w:r>
        <w:rPr>
          <w:rFonts w:cs="David"/>
          <w:rtl/>
        </w:rPr>
        <w:t xml:space="preserve"> </w:t>
      </w:r>
      <w:r>
        <w:rPr>
          <w:rFonts w:cs="David" w:hint="cs"/>
          <w:rtl/>
        </w:rPr>
        <w:t>הכנסת</w:t>
      </w:r>
      <w:bookmarkEnd w:id="1"/>
      <w:r>
        <w:rPr>
          <w:rFonts w:cs="David"/>
        </w:rPr>
        <w:tab/>
      </w:r>
      <w:r>
        <w:rPr>
          <w:rFonts w:cs="David"/>
        </w:rPr>
        <w:tab/>
      </w:r>
      <w:bookmarkStart w:id="2" w:name="MKs"/>
      <w:r>
        <w:rPr>
          <w:rFonts w:cs="David" w:hint="cs"/>
          <w:b/>
          <w:bCs/>
          <w:rtl/>
        </w:rPr>
        <w:t>ציון</w:t>
      </w:r>
      <w:r>
        <w:rPr>
          <w:rFonts w:cs="David"/>
          <w:b/>
          <w:bCs/>
          <w:rtl/>
        </w:rPr>
        <w:t xml:space="preserve"> </w:t>
      </w:r>
      <w:proofErr w:type="spellStart"/>
      <w:r>
        <w:rPr>
          <w:rFonts w:cs="David" w:hint="cs"/>
          <w:b/>
          <w:bCs/>
          <w:rtl/>
        </w:rPr>
        <w:t>פיניאן</w:t>
      </w:r>
      <w:proofErr w:type="spellEnd"/>
    </w:p>
    <w:p w:rsidR="00E22E48" w:rsidRDefault="00E22E48" w:rsidP="00E22E48">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proofErr w:type="spellStart"/>
      <w:r>
        <w:rPr>
          <w:rFonts w:cs="David" w:hint="cs"/>
          <w:b/>
          <w:bCs/>
          <w:rtl/>
        </w:rPr>
        <w:t>גאלב</w:t>
      </w:r>
      <w:proofErr w:type="spellEnd"/>
      <w:r>
        <w:rPr>
          <w:rFonts w:cs="David"/>
          <w:b/>
          <w:bCs/>
          <w:rtl/>
        </w:rPr>
        <w:t xml:space="preserve"> </w:t>
      </w:r>
      <w:proofErr w:type="spellStart"/>
      <w:r>
        <w:rPr>
          <w:rFonts w:cs="David" w:hint="cs"/>
          <w:b/>
          <w:bCs/>
          <w:rtl/>
        </w:rPr>
        <w:t>מג</w:t>
      </w:r>
      <w:r>
        <w:rPr>
          <w:rFonts w:cs="David"/>
          <w:b/>
          <w:bCs/>
          <w:rtl/>
        </w:rPr>
        <w:t>'</w:t>
      </w:r>
      <w:r>
        <w:rPr>
          <w:rFonts w:cs="David" w:hint="cs"/>
          <w:b/>
          <w:bCs/>
          <w:rtl/>
        </w:rPr>
        <w:t>אדלה</w:t>
      </w:r>
      <w:bookmarkEnd w:id="2"/>
      <w:proofErr w:type="spellEnd"/>
    </w:p>
    <w:p w:rsidR="00E22E48" w:rsidRDefault="00E22E48" w:rsidP="00E22E48">
      <w:pPr>
        <w:ind w:left="2880" w:firstLine="720"/>
        <w:rPr>
          <w:rFonts w:cs="David"/>
          <w:sz w:val="26"/>
          <w:szCs w:val="26"/>
        </w:rPr>
      </w:pPr>
      <w:r>
        <w:rPr>
          <w:rFonts w:cs="David"/>
          <w:sz w:val="26"/>
          <w:szCs w:val="26"/>
        </w:rPr>
        <w:tab/>
      </w:r>
      <w:r>
        <w:rPr>
          <w:rFonts w:cs="David"/>
          <w:sz w:val="26"/>
          <w:szCs w:val="26"/>
        </w:rPr>
        <w:tab/>
      </w:r>
      <w:r>
        <w:rPr>
          <w:rFonts w:cs="David"/>
          <w:sz w:val="26"/>
          <w:szCs w:val="26"/>
        </w:rPr>
        <w:tab/>
      </w:r>
      <w:bookmarkStart w:id="3" w:name="MKs1"/>
      <w:r>
        <w:rPr>
          <w:rFonts w:cs="David"/>
          <w:sz w:val="26"/>
          <w:szCs w:val="26"/>
        </w:rPr>
        <w:tab/>
      </w:r>
      <w:r>
        <w:rPr>
          <w:rFonts w:cs="David"/>
          <w:sz w:val="26"/>
          <w:szCs w:val="26"/>
        </w:rPr>
        <w:tab/>
      </w:r>
      <w:r>
        <w:rPr>
          <w:rFonts w:cs="David" w:hint="cs"/>
          <w:sz w:val="26"/>
          <w:szCs w:val="26"/>
          <w:rtl/>
        </w:rPr>
        <w:t>פניה</w:t>
      </w:r>
      <w:r>
        <w:rPr>
          <w:rFonts w:cs="David"/>
          <w:sz w:val="26"/>
          <w:szCs w:val="26"/>
          <w:rtl/>
        </w:rPr>
        <w:t xml:space="preserve"> </w:t>
      </w:r>
      <w:r>
        <w:rPr>
          <w:rFonts w:cs="David" w:hint="cs"/>
          <w:sz w:val="26"/>
          <w:szCs w:val="26"/>
          <w:rtl/>
        </w:rPr>
        <w:t>קירשנבאום</w:t>
      </w:r>
    </w:p>
    <w:p w:rsidR="00E22E48" w:rsidRDefault="00E22E48" w:rsidP="00E22E48">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שי</w:t>
      </w:r>
      <w:r>
        <w:rPr>
          <w:rFonts w:cs="David"/>
          <w:sz w:val="26"/>
          <w:szCs w:val="26"/>
          <w:rtl/>
        </w:rPr>
        <w:t xml:space="preserve"> </w:t>
      </w:r>
      <w:r>
        <w:rPr>
          <w:rFonts w:cs="David" w:hint="cs"/>
          <w:sz w:val="26"/>
          <w:szCs w:val="26"/>
          <w:rtl/>
        </w:rPr>
        <w:t>חרמש</w:t>
      </w:r>
    </w:p>
    <w:p w:rsidR="00E22E48" w:rsidRDefault="00E22E48" w:rsidP="00E22E48">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אמנון</w:t>
      </w:r>
      <w:r>
        <w:rPr>
          <w:rFonts w:cs="David"/>
          <w:sz w:val="26"/>
          <w:szCs w:val="26"/>
          <w:rtl/>
        </w:rPr>
        <w:t xml:space="preserve"> </w:t>
      </w:r>
      <w:r>
        <w:rPr>
          <w:rFonts w:cs="David" w:hint="cs"/>
          <w:sz w:val="26"/>
          <w:szCs w:val="26"/>
          <w:rtl/>
        </w:rPr>
        <w:t>כהן</w:t>
      </w:r>
    </w:p>
    <w:p w:rsidR="00E22E48" w:rsidRDefault="00E22E48" w:rsidP="00E22E48">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משה</w:t>
      </w:r>
      <w:r>
        <w:rPr>
          <w:rFonts w:cs="David"/>
          <w:sz w:val="26"/>
          <w:szCs w:val="26"/>
          <w:rtl/>
        </w:rPr>
        <w:t xml:space="preserve"> </w:t>
      </w:r>
      <w:r>
        <w:rPr>
          <w:rFonts w:cs="David" w:hint="cs"/>
          <w:sz w:val="26"/>
          <w:szCs w:val="26"/>
          <w:rtl/>
        </w:rPr>
        <w:t>גפני</w:t>
      </w:r>
    </w:p>
    <w:p w:rsidR="00E22E48" w:rsidRDefault="00E22E48" w:rsidP="00E22E48">
      <w:pPr>
        <w:ind w:left="2880" w:firstLine="720"/>
        <w:rPr>
          <w:rFonts w:cs="David"/>
          <w:sz w:val="26"/>
          <w:szCs w:val="26"/>
          <w:rtl/>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חיים</w:t>
      </w:r>
      <w:r>
        <w:rPr>
          <w:rFonts w:cs="David"/>
          <w:sz w:val="26"/>
          <w:szCs w:val="26"/>
          <w:rtl/>
        </w:rPr>
        <w:t xml:space="preserve"> </w:t>
      </w:r>
      <w:r>
        <w:rPr>
          <w:rFonts w:cs="David" w:hint="cs"/>
          <w:sz w:val="26"/>
          <w:szCs w:val="26"/>
          <w:rtl/>
        </w:rPr>
        <w:t>אורון</w:t>
      </w:r>
      <w:bookmarkEnd w:id="3"/>
      <w:r>
        <w:rPr>
          <w:rFonts w:cs="David"/>
          <w:sz w:val="26"/>
          <w:szCs w:val="26"/>
        </w:rPr>
        <w:tab/>
      </w:r>
      <w:r>
        <w:rPr>
          <w:rFonts w:cs="David"/>
          <w:sz w:val="26"/>
          <w:szCs w:val="26"/>
          <w:rtl/>
        </w:rPr>
        <w:tab/>
      </w:r>
      <w:r>
        <w:rPr>
          <w:rFonts w:cs="David"/>
          <w:sz w:val="26"/>
          <w:szCs w:val="26"/>
          <w:rtl/>
        </w:rPr>
        <w:tab/>
      </w:r>
      <w:r>
        <w:rPr>
          <w:rFonts w:cs="David"/>
          <w:sz w:val="26"/>
          <w:szCs w:val="26"/>
          <w:rtl/>
        </w:rPr>
        <w:tab/>
      </w:r>
    </w:p>
    <w:p w:rsidR="00E22E48" w:rsidRDefault="00E22E48" w:rsidP="00E22E48">
      <w:pPr>
        <w:ind w:left="2919" w:firstLine="720"/>
        <w:rPr>
          <w:rFonts w:cs="David"/>
          <w:sz w:val="26"/>
          <w:szCs w:val="26"/>
          <w:rtl/>
        </w:rPr>
      </w:pPr>
      <w:r>
        <w:rPr>
          <w:noProof/>
          <w:lang w:eastAsia="en-US"/>
        </w:rPr>
        <w:pict>
          <v:line id="_x0000_s1026" style="position:absolute;left:0;text-align:left;z-index:251660288" from=".1pt,5.1pt" to="300.1pt,5.1pt">
            <w10:wrap anchorx="page"/>
          </v:line>
        </w:pict>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bookmarkStart w:id="4" w:name="LawNum"/>
      <w:r>
        <w:rPr>
          <w:rFonts w:cs="David" w:hint="cs"/>
          <w:sz w:val="26"/>
          <w:szCs w:val="26"/>
          <w:rtl/>
        </w:rPr>
        <w:t>פ</w:t>
      </w:r>
      <w:r>
        <w:rPr>
          <w:rFonts w:cs="David"/>
          <w:sz w:val="26"/>
          <w:szCs w:val="26"/>
          <w:rtl/>
        </w:rPr>
        <w:t>/2773/18</w:t>
      </w:r>
      <w:bookmarkEnd w:id="4"/>
      <w:r>
        <w:rPr>
          <w:rFonts w:cs="David"/>
          <w:sz w:val="26"/>
          <w:szCs w:val="26"/>
          <w:rtl/>
        </w:rPr>
        <w:tab/>
      </w:r>
      <w:r>
        <w:rPr>
          <w:rFonts w:cs="David"/>
          <w:sz w:val="26"/>
          <w:szCs w:val="26"/>
          <w:rtl/>
        </w:rPr>
        <w:tab/>
      </w:r>
      <w:r>
        <w:rPr>
          <w:rFonts w:cs="David"/>
          <w:sz w:val="26"/>
          <w:szCs w:val="26"/>
          <w:rtl/>
        </w:rPr>
        <w:tab/>
      </w:r>
    </w:p>
    <w:p w:rsidR="00E22E48" w:rsidRDefault="00E22E48" w:rsidP="00E22E48">
      <w:pPr>
        <w:pStyle w:val="HeadHatzaotHok"/>
        <w:tabs>
          <w:tab w:val="left" w:pos="4071"/>
          <w:tab w:val="center" w:pos="4819"/>
        </w:tabs>
        <w:spacing w:before="0"/>
        <w:rPr>
          <w:rFonts w:cs="David"/>
          <w:sz w:val="26"/>
          <w:rtl/>
        </w:rPr>
      </w:pPr>
      <w:bookmarkStart w:id="5" w:name="Title"/>
      <w:r>
        <w:rPr>
          <w:rFonts w:cs="David"/>
          <w:sz w:val="26"/>
          <w:rtl/>
        </w:rPr>
        <w:t xml:space="preserve">הצעת חוק השקעות משותפות בנאמנות (תיקון – פרסום תשקיף בעיתון), </w:t>
      </w:r>
      <w:proofErr w:type="spellStart"/>
      <w:r>
        <w:rPr>
          <w:rFonts w:cs="David"/>
          <w:sz w:val="26"/>
          <w:rtl/>
        </w:rPr>
        <w:t>התשע"א–2010</w:t>
      </w:r>
      <w:bookmarkEnd w:id="5"/>
      <w:proofErr w:type="spellEnd"/>
    </w:p>
    <w:tbl>
      <w:tblPr>
        <w:bidiVisual/>
        <w:tblW w:w="9641" w:type="dxa"/>
        <w:tblInd w:w="-8" w:type="dxa"/>
        <w:tblLayout w:type="fixed"/>
        <w:tblCellMar>
          <w:top w:w="57" w:type="dxa"/>
          <w:left w:w="0" w:type="dxa"/>
          <w:bottom w:w="57" w:type="dxa"/>
          <w:right w:w="0" w:type="dxa"/>
        </w:tblCellMar>
        <w:tblLook w:val="0000"/>
      </w:tblPr>
      <w:tblGrid>
        <w:gridCol w:w="1871"/>
        <w:gridCol w:w="624"/>
        <w:gridCol w:w="7146"/>
      </w:tblGrid>
      <w:tr w:rsidR="00E22E48" w:rsidTr="00AC150E">
        <w:trPr>
          <w:cantSplit/>
          <w:trHeight w:val="1614"/>
        </w:trPr>
        <w:tc>
          <w:tcPr>
            <w:tcW w:w="1871" w:type="dxa"/>
            <w:tcBorders>
              <w:top w:val="nil"/>
              <w:left w:val="nil"/>
              <w:bottom w:val="nil"/>
              <w:right w:val="nil"/>
            </w:tcBorders>
          </w:tcPr>
          <w:p w:rsidR="00E22E48" w:rsidRDefault="00E22E48" w:rsidP="00AC150E">
            <w:pPr>
              <w:pStyle w:val="TableSideHeading"/>
              <w:ind w:right="0"/>
              <w:rPr>
                <w:rFonts w:cs="David"/>
                <w:sz w:val="26"/>
              </w:rPr>
            </w:pPr>
            <w:r>
              <w:rPr>
                <w:rFonts w:cs="David"/>
                <w:sz w:val="26"/>
                <w:rtl/>
              </w:rPr>
              <w:t>תיקון סעיף 31</w:t>
            </w:r>
          </w:p>
        </w:tc>
        <w:tc>
          <w:tcPr>
            <w:tcW w:w="624" w:type="dxa"/>
            <w:tcBorders>
              <w:top w:val="nil"/>
              <w:left w:val="nil"/>
              <w:bottom w:val="nil"/>
              <w:right w:val="nil"/>
            </w:tcBorders>
          </w:tcPr>
          <w:p w:rsidR="00E22E48" w:rsidRDefault="00E22E48" w:rsidP="00AC150E">
            <w:pPr>
              <w:pStyle w:val="TableText"/>
              <w:ind w:right="0"/>
              <w:jc w:val="both"/>
              <w:rPr>
                <w:rFonts w:cs="David"/>
                <w:sz w:val="26"/>
              </w:rPr>
            </w:pPr>
            <w:r>
              <w:rPr>
                <w:rFonts w:cs="David"/>
                <w:sz w:val="26"/>
                <w:rtl/>
              </w:rPr>
              <w:t>1.</w:t>
            </w:r>
          </w:p>
        </w:tc>
        <w:tc>
          <w:tcPr>
            <w:tcW w:w="7146" w:type="dxa"/>
            <w:tcBorders>
              <w:top w:val="nil"/>
              <w:left w:val="nil"/>
              <w:bottom w:val="nil"/>
              <w:right w:val="nil"/>
            </w:tcBorders>
          </w:tcPr>
          <w:p w:rsidR="00E22E48" w:rsidRDefault="00E22E48" w:rsidP="00AC150E">
            <w:pPr>
              <w:pStyle w:val="TableBlock"/>
              <w:rPr>
                <w:rFonts w:cs="David"/>
                <w:sz w:val="26"/>
              </w:rPr>
            </w:pPr>
            <w:r>
              <w:rPr>
                <w:rFonts w:cs="David"/>
                <w:sz w:val="26"/>
                <w:rtl/>
              </w:rPr>
              <w:t xml:space="preserve">בחוק השקעות משותפות בנאמנות, </w:t>
            </w:r>
            <w:proofErr w:type="spellStart"/>
            <w:r>
              <w:rPr>
                <w:rFonts w:cs="David"/>
                <w:sz w:val="26"/>
                <w:rtl/>
              </w:rPr>
              <w:t>התשנ"ד–1994</w:t>
            </w:r>
            <w:proofErr w:type="spellEnd"/>
            <w:r>
              <w:rPr>
                <w:rStyle w:val="a5"/>
                <w:rFonts w:cs="David"/>
                <w:sz w:val="26"/>
                <w:rtl/>
              </w:rPr>
              <w:footnoteReference w:id="1"/>
            </w:r>
            <w:r>
              <w:rPr>
                <w:rFonts w:cs="David"/>
                <w:sz w:val="26"/>
                <w:rtl/>
              </w:rPr>
              <w:t>, בסעיף 31, בסעיף קטן (ב), אחרי "ליחידות המוצעות;" יבוא "הודעה כאמור תכלול את כריכתו הקדמית של התשקיף;", ובסופו יבוא " לעניין זה, "כריכתו הקדמית של התשקיף" – כמשמעותה בתקנות שהותקנו לפי סעיפים 26(א) ו-(ג) ו-131(א)".</w:t>
            </w:r>
          </w:p>
        </w:tc>
      </w:tr>
    </w:tbl>
    <w:p w:rsidR="00E22E48" w:rsidRDefault="00E22E48" w:rsidP="00E22E48">
      <w:pPr>
        <w:pStyle w:val="HeadDivreiHesber"/>
        <w:spacing w:before="0" w:after="0"/>
        <w:rPr>
          <w:rFonts w:cs="David"/>
          <w:sz w:val="26"/>
          <w:rtl/>
        </w:rPr>
      </w:pPr>
    </w:p>
    <w:p w:rsidR="00E22E48" w:rsidRDefault="00E22E48" w:rsidP="00E22E48">
      <w:pPr>
        <w:pStyle w:val="HeadDivreiHesber"/>
        <w:spacing w:before="0" w:after="0"/>
        <w:rPr>
          <w:rFonts w:cs="David"/>
          <w:sz w:val="26"/>
          <w:rtl/>
        </w:rPr>
      </w:pPr>
      <w:r>
        <w:rPr>
          <w:rFonts w:cs="David"/>
          <w:sz w:val="26"/>
          <w:rtl/>
        </w:rPr>
        <w:t>דברי הסבר</w:t>
      </w:r>
    </w:p>
    <w:p w:rsidR="00E22E48" w:rsidRDefault="00E22E48" w:rsidP="00E22E48">
      <w:pPr>
        <w:pStyle w:val="Hesber"/>
        <w:rPr>
          <w:rFonts w:cs="David"/>
          <w:sz w:val="26"/>
          <w:rtl/>
        </w:rPr>
      </w:pPr>
      <w:r>
        <w:rPr>
          <w:rFonts w:cs="David"/>
          <w:sz w:val="26"/>
          <w:rtl/>
        </w:rPr>
        <w:t xml:space="preserve">הצעת החוק האמורה נועדה להמשיך את הפרסום בעיתונות כפי שהיה נהוג בעניין זה עד להתקנת  תקנות השקעות משותפות בנאמנות (פרטי תשקיף של קרן, מבנהו וצורתו), </w:t>
      </w:r>
      <w:proofErr w:type="spellStart"/>
      <w:r>
        <w:rPr>
          <w:rFonts w:cs="David"/>
          <w:sz w:val="26"/>
          <w:rtl/>
        </w:rPr>
        <w:t>התש"ע–2010</w:t>
      </w:r>
      <w:proofErr w:type="spellEnd"/>
      <w:r>
        <w:rPr>
          <w:rFonts w:cs="David"/>
          <w:sz w:val="26"/>
          <w:rtl/>
        </w:rPr>
        <w:t xml:space="preserve"> (להלן – תקנות השקעות משותפות בנאמנות).</w:t>
      </w:r>
    </w:p>
    <w:p w:rsidR="00E22E48" w:rsidRDefault="00E22E48" w:rsidP="00E22E48">
      <w:pPr>
        <w:pStyle w:val="Hesber"/>
        <w:rPr>
          <w:rFonts w:cs="David"/>
          <w:sz w:val="26"/>
          <w:rtl/>
        </w:rPr>
      </w:pPr>
      <w:r>
        <w:rPr>
          <w:rFonts w:cs="David"/>
          <w:sz w:val="26"/>
          <w:rtl/>
        </w:rPr>
        <w:t xml:space="preserve">סעיף 31 לחוק השקעות משותפות בנאמנות, </w:t>
      </w:r>
      <w:proofErr w:type="spellStart"/>
      <w:r>
        <w:rPr>
          <w:rFonts w:cs="David"/>
          <w:sz w:val="26"/>
          <w:rtl/>
        </w:rPr>
        <w:t>התשנ"ד–1994</w:t>
      </w:r>
      <w:proofErr w:type="spellEnd"/>
      <w:r>
        <w:rPr>
          <w:rFonts w:cs="David"/>
          <w:sz w:val="26"/>
          <w:rtl/>
        </w:rPr>
        <w:t xml:space="preserve"> (להלן – החוק), קובע את תאריך התשקיף ופרסומו. מוצע לעגן את דרישת הפרסום, כך שמנהל הקרן יפרסם בהודעה בעיתון גם את כריכתו הקדמית של התשקיף, כמשמעותה בתקנות השקעות משותפות בנאמנות, שהותקנו לפי סעיפים 26(א) ו-(ג) ו-131(א); זאת, במטרה להבטיח מתן מידע מלא למשקיעים בקרנות נאמנות, שחלקם אינם נוהגים לקבל את המידע בדבר פרסום תשקיפים באמצעות האינטרנט, ובכך לשמור על עקרון הגילוי הנאות שהוא אבן היסוד של חובות הגילוי והפרסום לציבור בדיני ניירות ערך. </w:t>
      </w:r>
    </w:p>
    <w:p w:rsidR="00E22E48" w:rsidRDefault="00E22E48" w:rsidP="00E22E48">
      <w:pPr>
        <w:pStyle w:val="Hesber"/>
        <w:rPr>
          <w:rFonts w:cs="David"/>
          <w:sz w:val="26"/>
          <w:rtl/>
        </w:rPr>
      </w:pPr>
      <w:r>
        <w:rPr>
          <w:rFonts w:cs="David"/>
          <w:sz w:val="26"/>
          <w:rtl/>
        </w:rPr>
        <w:t xml:space="preserve"> </w:t>
      </w:r>
    </w:p>
    <w:p w:rsidR="00E22E48" w:rsidRDefault="00E22E48" w:rsidP="00E22E48">
      <w:pPr>
        <w:pStyle w:val="Hesber"/>
        <w:rPr>
          <w:rFonts w:cs="David"/>
          <w:sz w:val="26"/>
          <w:rtl/>
        </w:rPr>
      </w:pPr>
    </w:p>
    <w:p w:rsidR="00E22E48" w:rsidRDefault="00E22E48" w:rsidP="00E22E48">
      <w:pPr>
        <w:ind w:left="340" w:firstLine="0"/>
        <w:rPr>
          <w:rFonts w:ascii="Arial" w:eastAsia="Arial Unicode MS" w:hAnsi="Arial" w:cs="David"/>
          <w:snapToGrid w:val="0"/>
          <w:spacing w:val="0"/>
          <w:sz w:val="26"/>
          <w:szCs w:val="26"/>
          <w:rtl/>
        </w:rPr>
      </w:pPr>
      <w:r>
        <w:rPr>
          <w:rFonts w:ascii="Arial" w:eastAsia="Arial Unicode MS" w:hAnsi="Arial" w:cs="David"/>
          <w:snapToGrid w:val="0"/>
          <w:spacing w:val="0"/>
          <w:sz w:val="26"/>
          <w:szCs w:val="26"/>
          <w:rtl/>
        </w:rPr>
        <w:t>---------------------------------</w:t>
      </w:r>
    </w:p>
    <w:p w:rsidR="00E22E48" w:rsidRDefault="00E22E48" w:rsidP="00E22E48">
      <w:pPr>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הוגשה</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ליו</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ר</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הכנסת</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והסגנים</w:t>
      </w:r>
    </w:p>
    <w:p w:rsidR="00E22E48" w:rsidRDefault="00E22E48" w:rsidP="00E22E48">
      <w:pPr>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והונחה</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על</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שולחן</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הכנסת</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ביום</w:t>
      </w:r>
    </w:p>
    <w:p w:rsidR="00E22E48" w:rsidRDefault="00E22E48" w:rsidP="00E22E48">
      <w:pPr>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ו</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בטבת</w:t>
      </w:r>
      <w:r>
        <w:rPr>
          <w:rFonts w:ascii="Arial" w:eastAsia="Arial Unicode MS" w:hAnsi="Arial" w:cs="David"/>
          <w:snapToGrid w:val="0"/>
          <w:spacing w:val="0"/>
          <w:sz w:val="26"/>
          <w:szCs w:val="26"/>
          <w:rtl/>
        </w:rPr>
        <w:t xml:space="preserve"> </w:t>
      </w:r>
      <w:proofErr w:type="spellStart"/>
      <w:r>
        <w:rPr>
          <w:rFonts w:ascii="Arial" w:eastAsia="Arial Unicode MS" w:hAnsi="Arial" w:cs="David" w:hint="eastAsia"/>
          <w:snapToGrid w:val="0"/>
          <w:spacing w:val="0"/>
          <w:sz w:val="26"/>
          <w:szCs w:val="26"/>
          <w:rtl/>
        </w:rPr>
        <w:t>התשע</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א</w:t>
      </w:r>
      <w:proofErr w:type="spellEnd"/>
      <w:r>
        <w:rPr>
          <w:rFonts w:ascii="Arial" w:eastAsia="Arial Unicode MS" w:hAnsi="Arial" w:cs="David"/>
          <w:snapToGrid w:val="0"/>
          <w:spacing w:val="0"/>
          <w:sz w:val="26"/>
          <w:szCs w:val="26"/>
          <w:rtl/>
        </w:rPr>
        <w:t xml:space="preserve"> - 13.12.10</w:t>
      </w:r>
    </w:p>
    <w:p w:rsidR="00E163DB" w:rsidRDefault="00E163DB">
      <w:pPr>
        <w:rPr>
          <w:rFonts w:hint="cs"/>
        </w:rPr>
      </w:pPr>
    </w:p>
    <w:sectPr w:rsidR="00E163DB">
      <w:footerReference w:type="default" r:id="rId6"/>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ACE" w:rsidRDefault="00D94ACE" w:rsidP="00E22E48">
      <w:pPr>
        <w:spacing w:before="0" w:line="240" w:lineRule="auto"/>
      </w:pPr>
      <w:r>
        <w:separator/>
      </w:r>
    </w:p>
  </w:endnote>
  <w:endnote w:type="continuationSeparator" w:id="0">
    <w:p w:rsidR="00D94ACE" w:rsidRDefault="00D94ACE"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S ??"/>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4ACE">
    <w:pPr>
      <w:pStyle w:val="a6"/>
      <w:framePr w:wrap="auto" w:vAnchor="text" w:hAnchor="text" w:xAlign="center" w:y="1"/>
      <w:rPr>
        <w:rStyle w:val="a8"/>
        <w:rFonts w:cs="Hadasa Roso SL"/>
      </w:rPr>
    </w:pPr>
    <w:r>
      <w:rPr>
        <w:rStyle w:val="a8"/>
        <w:rFonts w:cs="Hadasa Roso SL"/>
      </w:rPr>
      <w:fldChar w:fldCharType="begin"/>
    </w:r>
    <w:r>
      <w:rPr>
        <w:rStyle w:val="a8"/>
        <w:rFonts w:cs="Hadasa Roso SL"/>
      </w:rPr>
      <w:instrText xml:space="preserve">PAGE  </w:instrText>
    </w:r>
    <w:r>
      <w:rPr>
        <w:rStyle w:val="a8"/>
        <w:rFonts w:cs="Hadasa Roso SL"/>
      </w:rPr>
      <w:fldChar w:fldCharType="separate"/>
    </w:r>
    <w:r>
      <w:rPr>
        <w:rStyle w:val="a8"/>
        <w:rFonts w:cs="Hadasa Roso SL"/>
        <w:noProof/>
        <w:rtl/>
      </w:rPr>
      <w:t>2</w:t>
    </w:r>
    <w:r>
      <w:rPr>
        <w:rStyle w:val="a8"/>
        <w:rFonts w:cs="Hadasa Roso SL"/>
      </w:rPr>
      <w:fldChar w:fldCharType="end"/>
    </w:r>
  </w:p>
  <w:p w:rsidR="00000000" w:rsidRDefault="00D94ACE">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ACE" w:rsidRDefault="00D94ACE" w:rsidP="00E22E48">
      <w:pPr>
        <w:spacing w:before="0" w:line="240" w:lineRule="auto"/>
      </w:pPr>
      <w:r>
        <w:separator/>
      </w:r>
    </w:p>
  </w:footnote>
  <w:footnote w:type="continuationSeparator" w:id="0">
    <w:p w:rsidR="00D94ACE" w:rsidRDefault="00D94ACE" w:rsidP="00E22E48">
      <w:pPr>
        <w:spacing w:before="0" w:line="240" w:lineRule="auto"/>
      </w:pPr>
      <w:r>
        <w:continuationSeparator/>
      </w:r>
    </w:p>
  </w:footnote>
  <w:footnote w:id="1">
    <w:p w:rsidR="00E22E48" w:rsidRDefault="00E22E48" w:rsidP="00E22E48">
      <w:pPr>
        <w:pStyle w:val="a3"/>
      </w:pPr>
      <w:r>
        <w:rPr>
          <w:rStyle w:val="a5"/>
          <w:rFonts w:cs="David"/>
        </w:rPr>
        <w:footnoteRef/>
      </w:r>
      <w:r>
        <w:rPr>
          <w:rFonts w:cs="David"/>
          <w:sz w:val="20"/>
          <w:rtl/>
        </w:rPr>
        <w:t xml:space="preserve"> ס"ח </w:t>
      </w:r>
      <w:proofErr w:type="spellStart"/>
      <w:r>
        <w:rPr>
          <w:rFonts w:cs="David"/>
          <w:sz w:val="20"/>
          <w:rtl/>
        </w:rPr>
        <w:t>התשנ"ד</w:t>
      </w:r>
      <w:proofErr w:type="spellEnd"/>
      <w:r>
        <w:rPr>
          <w:rFonts w:cs="David"/>
          <w:sz w:val="20"/>
          <w:rtl/>
        </w:rPr>
        <w:t xml:space="preserve">, </w:t>
      </w:r>
      <w:proofErr w:type="spellStart"/>
      <w:r>
        <w:rPr>
          <w:rFonts w:cs="David"/>
          <w:sz w:val="20"/>
          <w:rtl/>
        </w:rPr>
        <w:t>עמ</w:t>
      </w:r>
      <w:proofErr w:type="spellEnd"/>
      <w:r>
        <w:rPr>
          <w:rFonts w:cs="David"/>
          <w:sz w:val="20"/>
          <w:rtl/>
        </w:rPr>
        <w:t>' 308.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1116</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dc:creator>
  <cp:keywords/>
  <dc:description/>
  <cp:lastModifiedBy>שלמה</cp:lastModifiedBy>
  <cp:revision>2</cp:revision>
  <dcterms:created xsi:type="dcterms:W3CDTF">2012-12-28T12:19:00Z</dcterms:created>
  <dcterms:modified xsi:type="dcterms:W3CDTF">2012-12-28T12:19:00Z</dcterms:modified>
</cp:coreProperties>
</file>