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44" w:rsidRDefault="00251044" w:rsidP="00251044">
      <w:pPr>
        <w:spacing w:before="0"/>
        <w:jc w:val="center"/>
        <w:rPr>
          <w:b/>
          <w:bCs/>
          <w:sz w:val="28"/>
          <w:szCs w:val="28"/>
          <w:rtl/>
        </w:rPr>
      </w:pPr>
      <w:r>
        <w:rPr>
          <w:noProof/>
          <w:lang w:eastAsia="en-US"/>
        </w:rPr>
        <w:drawing>
          <wp:inline distT="0" distB="0" distL="0" distR="0">
            <wp:extent cx="504825" cy="628650"/>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51044" w:rsidRDefault="00251044" w:rsidP="00251044">
      <w:pPr>
        <w:spacing w:before="0"/>
        <w:jc w:val="center"/>
        <w:rPr>
          <w:b/>
          <w:bCs/>
          <w:sz w:val="28"/>
          <w:szCs w:val="28"/>
          <w:rtl/>
        </w:rPr>
      </w:pPr>
    </w:p>
    <w:p w:rsidR="00251044" w:rsidRDefault="00251044" w:rsidP="00251044">
      <w:pPr>
        <w:pStyle w:val="HeadHatzaotHok"/>
        <w:rPr>
          <w:sz w:val="28"/>
          <w:szCs w:val="28"/>
          <w:rtl/>
        </w:rPr>
      </w:pPr>
      <w:r>
        <w:rPr>
          <w:rtl/>
        </w:rPr>
        <w:t xml:space="preserve">חוק התכנון והבניה (תיקון מס' 86), </w:t>
      </w:r>
      <w:proofErr w:type="spellStart"/>
      <w:r>
        <w:rPr>
          <w:rtl/>
        </w:rPr>
        <w:t>התשס"ח</w:t>
      </w:r>
      <w:proofErr w:type="spellEnd"/>
      <w:r>
        <w:rPr>
          <w:rtl/>
        </w:rPr>
        <w:t>-2008</w:t>
      </w:r>
      <w:r>
        <w:rPr>
          <w:rStyle w:val="a5"/>
          <w:b w:val="0"/>
          <w:bCs w:val="0"/>
          <w:sz w:val="28"/>
          <w:szCs w:val="28"/>
          <w:rtl/>
        </w:rPr>
        <w:footnoteReference w:customMarkFollows="1" w:id="1"/>
        <w:t>*</w:t>
      </w:r>
    </w:p>
    <w:p w:rsidR="00251044" w:rsidRDefault="00251044" w:rsidP="00251044">
      <w:pPr>
        <w:spacing w:before="0"/>
        <w:rPr>
          <w:sz w:val="26"/>
          <w:szCs w:val="26"/>
          <w:rtl/>
        </w:rPr>
      </w:pPr>
    </w:p>
    <w:tbl>
      <w:tblPr>
        <w:bidiVisual/>
        <w:tblW w:w="9636" w:type="dxa"/>
        <w:jc w:val="center"/>
        <w:tblLayout w:type="fixed"/>
        <w:tblCellMar>
          <w:top w:w="57" w:type="dxa"/>
          <w:left w:w="0" w:type="dxa"/>
          <w:bottom w:w="57" w:type="dxa"/>
          <w:right w:w="0" w:type="dxa"/>
        </w:tblCellMar>
        <w:tblLook w:val="01E0"/>
      </w:tblPr>
      <w:tblGrid>
        <w:gridCol w:w="1869"/>
        <w:gridCol w:w="624"/>
        <w:gridCol w:w="624"/>
        <w:gridCol w:w="624"/>
        <w:gridCol w:w="624"/>
        <w:gridCol w:w="624"/>
        <w:gridCol w:w="624"/>
        <w:gridCol w:w="4023"/>
      </w:tblGrid>
      <w:tr w:rsidR="00251044" w:rsidTr="00EA3D6A">
        <w:trPr>
          <w:cantSplit/>
          <w:jc w:val="center"/>
        </w:trPr>
        <w:tc>
          <w:tcPr>
            <w:tcW w:w="1869" w:type="dxa"/>
          </w:tcPr>
          <w:p w:rsidR="00251044" w:rsidRDefault="00251044" w:rsidP="00EA3D6A">
            <w:pPr>
              <w:pStyle w:val="TableSideHeading"/>
              <w:keepLines w:val="0"/>
            </w:pPr>
            <w:r>
              <w:rPr>
                <w:rtl/>
              </w:rPr>
              <w:t>תיקון סעיף 1א</w:t>
            </w:r>
          </w:p>
        </w:tc>
        <w:tc>
          <w:tcPr>
            <w:tcW w:w="624" w:type="dxa"/>
          </w:tcPr>
          <w:p w:rsidR="00251044" w:rsidRDefault="00251044" w:rsidP="00EA3D6A">
            <w:pPr>
              <w:pStyle w:val="TableText"/>
              <w:keepLines w:val="0"/>
            </w:pPr>
            <w:r>
              <w:rPr>
                <w:rtl/>
              </w:rPr>
              <w:t>1.</w:t>
            </w:r>
          </w:p>
        </w:tc>
        <w:tc>
          <w:tcPr>
            <w:tcW w:w="7143" w:type="dxa"/>
            <w:gridSpan w:val="6"/>
          </w:tcPr>
          <w:p w:rsidR="00251044" w:rsidRPr="00AC4582" w:rsidRDefault="00251044" w:rsidP="00EA3D6A">
            <w:pPr>
              <w:pStyle w:val="TableBlock"/>
            </w:pPr>
            <w:r w:rsidRPr="00AC4582">
              <w:rPr>
                <w:rtl/>
              </w:rPr>
              <w:t xml:space="preserve">בחוק </w:t>
            </w:r>
            <w:r>
              <w:rPr>
                <w:rtl/>
              </w:rPr>
              <w:t xml:space="preserve">התכנון והבניה, </w:t>
            </w:r>
            <w:proofErr w:type="spellStart"/>
            <w:r>
              <w:rPr>
                <w:rtl/>
              </w:rPr>
              <w:t>התשכ"ה–1965</w:t>
            </w:r>
            <w:proofErr w:type="spellEnd"/>
            <w:r>
              <w:rPr>
                <w:rStyle w:val="a5"/>
                <w:b/>
                <w:bCs/>
              </w:rPr>
              <w:footnoteReference w:id="2"/>
            </w:r>
            <w:r>
              <w:rPr>
                <w:rtl/>
              </w:rPr>
              <w:t xml:space="preserve"> (להלן – החוק העיקרי), בסעיף 1א, אחרי סעיף קטן (ג) יבוא:</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7143" w:type="dxa"/>
            <w:gridSpan w:val="6"/>
          </w:tcPr>
          <w:p w:rsidR="00251044" w:rsidRDefault="00251044" w:rsidP="00EA3D6A">
            <w:pPr>
              <w:pStyle w:val="TableBlock"/>
            </w:pPr>
            <w:r>
              <w:rPr>
                <w:rtl/>
              </w:rPr>
              <w:t>"(ד)</w:t>
            </w:r>
            <w:r>
              <w:rPr>
                <w:rtl/>
              </w:rPr>
              <w:tab/>
              <w:t>בכל פרסום בעיתון תצוין הפניה לאתרי אינטרנט כאמור בסעיף 1ב הכוללת את שמות המתחם של האתרים."</w:t>
            </w:r>
          </w:p>
        </w:tc>
      </w:tr>
      <w:tr w:rsidR="00251044" w:rsidTr="00EA3D6A">
        <w:trPr>
          <w:cantSplit/>
          <w:jc w:val="center"/>
        </w:trPr>
        <w:tc>
          <w:tcPr>
            <w:tcW w:w="1869" w:type="dxa"/>
          </w:tcPr>
          <w:p w:rsidR="00251044" w:rsidRDefault="00251044" w:rsidP="00EA3D6A">
            <w:pPr>
              <w:pStyle w:val="TableSideHeading"/>
              <w:keepLines w:val="0"/>
            </w:pPr>
            <w:r>
              <w:rPr>
                <w:rtl/>
              </w:rPr>
              <w:t xml:space="preserve">הוספת סעיפים 1ב ו-1ג </w:t>
            </w:r>
          </w:p>
        </w:tc>
        <w:tc>
          <w:tcPr>
            <w:tcW w:w="624" w:type="dxa"/>
          </w:tcPr>
          <w:p w:rsidR="00251044" w:rsidRDefault="00251044" w:rsidP="00EA3D6A">
            <w:pPr>
              <w:pStyle w:val="TableText"/>
              <w:keepLines w:val="0"/>
            </w:pPr>
            <w:r>
              <w:rPr>
                <w:rtl/>
              </w:rPr>
              <w:t>2.</w:t>
            </w:r>
          </w:p>
        </w:tc>
        <w:tc>
          <w:tcPr>
            <w:tcW w:w="7143" w:type="dxa"/>
            <w:gridSpan w:val="6"/>
          </w:tcPr>
          <w:p w:rsidR="00251044" w:rsidRPr="00C34DE2" w:rsidRDefault="00251044" w:rsidP="00EA3D6A">
            <w:pPr>
              <w:pStyle w:val="TableBlock"/>
            </w:pPr>
            <w:r>
              <w:rPr>
                <w:rtl/>
              </w:rPr>
              <w:t>אחרי סעיף 1א לחוק העיקרי יבוא:</w:t>
            </w:r>
          </w:p>
        </w:tc>
      </w:tr>
      <w:tr w:rsidR="00251044" w:rsidTr="00EA3D6A">
        <w:trPr>
          <w:cantSplit/>
          <w:jc w:val="center"/>
        </w:trPr>
        <w:tc>
          <w:tcPr>
            <w:tcW w:w="1869" w:type="dxa"/>
          </w:tcPr>
          <w:p w:rsidR="00251044" w:rsidRDefault="00251044" w:rsidP="00EA3D6A">
            <w:pPr>
              <w:pStyle w:val="TableSideHeading"/>
              <w:keepLines w:val="0"/>
            </w:pPr>
          </w:p>
        </w:tc>
        <w:tc>
          <w:tcPr>
            <w:tcW w:w="624" w:type="dxa"/>
          </w:tcPr>
          <w:p w:rsidR="00251044" w:rsidRDefault="00251044" w:rsidP="00EA3D6A">
            <w:pPr>
              <w:pStyle w:val="TableText"/>
              <w:keepLines w:val="0"/>
            </w:pPr>
          </w:p>
        </w:tc>
        <w:tc>
          <w:tcPr>
            <w:tcW w:w="1872" w:type="dxa"/>
            <w:gridSpan w:val="3"/>
          </w:tcPr>
          <w:p w:rsidR="00251044" w:rsidRDefault="00251044" w:rsidP="00EA3D6A">
            <w:pPr>
              <w:pStyle w:val="TableInnerSideHeading"/>
            </w:pPr>
            <w:r>
              <w:rPr>
                <w:rtl/>
              </w:rPr>
              <w:t>"חובת פרסום הודעות באינטרנט</w:t>
            </w:r>
          </w:p>
        </w:tc>
        <w:tc>
          <w:tcPr>
            <w:tcW w:w="624" w:type="dxa"/>
          </w:tcPr>
          <w:p w:rsidR="00251044" w:rsidRDefault="00251044" w:rsidP="00EA3D6A">
            <w:pPr>
              <w:pStyle w:val="TableText"/>
            </w:pPr>
            <w:r>
              <w:rPr>
                <w:rtl/>
              </w:rPr>
              <w:t>1ב.</w:t>
            </w:r>
          </w:p>
        </w:tc>
        <w:tc>
          <w:tcPr>
            <w:tcW w:w="4647" w:type="dxa"/>
            <w:gridSpan w:val="2"/>
          </w:tcPr>
          <w:p w:rsidR="00251044" w:rsidRDefault="00251044" w:rsidP="00EA3D6A">
            <w:pPr>
              <w:pStyle w:val="TableBlock"/>
            </w:pPr>
            <w:r>
              <w:rPr>
                <w:rtl/>
              </w:rPr>
              <w:t>(א)</w:t>
            </w:r>
            <w:r>
              <w:rPr>
                <w:rtl/>
              </w:rPr>
              <w:tab/>
              <w:t xml:space="preserve">נקבעה חובת פרסום בעיתון לפי חוק זה, תחול חובת הפרסום גם באתר אינטרנט במדור מיוחד, </w:t>
            </w:r>
            <w:proofErr w:type="spellStart"/>
            <w:r>
              <w:rPr>
                <w:rtl/>
              </w:rPr>
              <w:t>שישא</w:t>
            </w:r>
            <w:proofErr w:type="spellEnd"/>
            <w:r>
              <w:rPr>
                <w:rtl/>
              </w:rPr>
              <w:t xml:space="preserve"> את הכותרת "הודעות בענייני תכנון ובניה", כמפורט להלן:</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4023" w:type="dxa"/>
          </w:tcPr>
          <w:p w:rsidR="00251044" w:rsidRDefault="00251044" w:rsidP="00EA3D6A">
            <w:pPr>
              <w:pStyle w:val="TableBlock"/>
            </w:pPr>
            <w:r>
              <w:rPr>
                <w:rtl/>
              </w:rPr>
              <w:t>(1)</w:t>
            </w:r>
            <w:r>
              <w:rPr>
                <w:rtl/>
              </w:rPr>
              <w:tab/>
              <w:t>הודעות מטעם ועדה מקומית או רשות רישוי מקומית – באתר האינטרנט של הוועדה המקומית או באתר האינטרנט של רשות מקומית הנוגעת בדבר;</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4023" w:type="dxa"/>
          </w:tcPr>
          <w:p w:rsidR="00251044" w:rsidRDefault="00251044" w:rsidP="00EA3D6A">
            <w:pPr>
              <w:pStyle w:val="TableBlock"/>
            </w:pPr>
            <w:r>
              <w:rPr>
                <w:rtl/>
              </w:rPr>
              <w:t>(2)</w:t>
            </w:r>
            <w:r>
              <w:rPr>
                <w:rtl/>
              </w:rPr>
              <w:tab/>
              <w:t>הודעות מטעם מוסד תכנון אחר – באתר האינטרנט של משרד הפנים.</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4647" w:type="dxa"/>
            <w:gridSpan w:val="2"/>
          </w:tcPr>
          <w:p w:rsidR="00251044" w:rsidRPr="00D94B47" w:rsidRDefault="00251044" w:rsidP="00EA3D6A">
            <w:pPr>
              <w:pStyle w:val="TableBlock"/>
            </w:pPr>
            <w:r>
              <w:rPr>
                <w:rtl/>
              </w:rPr>
              <w:t>(ב)</w:t>
            </w:r>
            <w:r>
              <w:rPr>
                <w:rtl/>
              </w:rPr>
              <w:tab/>
              <w:t>פורסמה הודעה כאמור בסעיף קטן (א)(1), למעט הודעה לפי סעיף 149, תועבר על ידי הוועדה המקומית למשרד הפנים; הועברה הודעה כאמור יפרסמה משרד הפנים גם באתר האינטרנט שלו; לעניין זה יראו הפנייה באתר האינטרנט של משרד הפנים להודעה כפי שפורסמה באתר האינטרנט כאמור בסעיף קטן (א)(1), כפרסום באתר האינטרנט של משרד הפנים לפי סעיף קטן זה.</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4647" w:type="dxa"/>
            <w:gridSpan w:val="2"/>
          </w:tcPr>
          <w:p w:rsidR="00251044" w:rsidRDefault="00251044" w:rsidP="00EA3D6A">
            <w:pPr>
              <w:pStyle w:val="TableBlock"/>
            </w:pPr>
            <w:r>
              <w:rPr>
                <w:rtl/>
              </w:rPr>
              <w:t>(ג)</w:t>
            </w:r>
            <w:r>
              <w:rPr>
                <w:rtl/>
              </w:rPr>
              <w:tab/>
              <w:t>לעניין שפת הפרסום לפי סעיפים קטנים (א) ו-(ב), יחולו הוראות סעיף 1א(א), בשינויים המחויבים.</w:t>
            </w:r>
          </w:p>
        </w:tc>
      </w:tr>
      <w:tr w:rsidR="00251044" w:rsidTr="00EA3D6A">
        <w:trPr>
          <w:cantSplit/>
          <w:jc w:val="center"/>
        </w:trPr>
        <w:tc>
          <w:tcPr>
            <w:tcW w:w="1869" w:type="dxa"/>
          </w:tcPr>
          <w:p w:rsidR="00251044" w:rsidRDefault="00251044" w:rsidP="00EA3D6A">
            <w:pPr>
              <w:pStyle w:val="TableSideHeading"/>
              <w:keepLines w:val="0"/>
            </w:pPr>
          </w:p>
        </w:tc>
        <w:tc>
          <w:tcPr>
            <w:tcW w:w="624" w:type="dxa"/>
          </w:tcPr>
          <w:p w:rsidR="00251044" w:rsidRDefault="00251044" w:rsidP="00EA3D6A">
            <w:pPr>
              <w:pStyle w:val="TableText"/>
              <w:keepLines w:val="0"/>
            </w:pPr>
          </w:p>
        </w:tc>
        <w:tc>
          <w:tcPr>
            <w:tcW w:w="1872" w:type="dxa"/>
            <w:gridSpan w:val="3"/>
          </w:tcPr>
          <w:p w:rsidR="00251044" w:rsidRDefault="00251044" w:rsidP="00EA3D6A">
            <w:pPr>
              <w:pStyle w:val="TableInnerSideHeading"/>
            </w:pPr>
            <w:r>
              <w:rPr>
                <w:rtl/>
              </w:rPr>
              <w:t>אתר אינטרנט</w:t>
            </w:r>
          </w:p>
        </w:tc>
        <w:tc>
          <w:tcPr>
            <w:tcW w:w="624" w:type="dxa"/>
          </w:tcPr>
          <w:p w:rsidR="00251044" w:rsidRDefault="00251044" w:rsidP="00EA3D6A">
            <w:pPr>
              <w:pStyle w:val="TableText"/>
            </w:pPr>
            <w:r>
              <w:rPr>
                <w:rtl/>
              </w:rPr>
              <w:t>1ג.</w:t>
            </w:r>
          </w:p>
        </w:tc>
        <w:tc>
          <w:tcPr>
            <w:tcW w:w="4647" w:type="dxa"/>
            <w:gridSpan w:val="2"/>
          </w:tcPr>
          <w:p w:rsidR="00251044" w:rsidRDefault="00251044" w:rsidP="00EA3D6A">
            <w:pPr>
              <w:pStyle w:val="TableBlock"/>
            </w:pPr>
            <w:r>
              <w:rPr>
                <w:rtl/>
              </w:rPr>
              <w:t>(א)</w:t>
            </w:r>
            <w:r>
              <w:rPr>
                <w:rtl/>
              </w:rPr>
              <w:tab/>
              <w:t>אתר אינטרנט שבו יש לפרסם תכניות, הודעות או מסמכים אחרים לפי חוק זה יהיה נגיש לכלל הציבור ללא תשלום והפרסום בו ייעשה באופן שיבטיח את זמינותו, שמירתו, יכולת אחזור המידע באתר והפקת פלט ממנו.</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4647" w:type="dxa"/>
            <w:gridSpan w:val="2"/>
          </w:tcPr>
          <w:p w:rsidR="00251044" w:rsidRDefault="00251044" w:rsidP="00EA3D6A">
            <w:pPr>
              <w:pStyle w:val="TableBlock"/>
            </w:pPr>
            <w:r>
              <w:rPr>
                <w:rtl/>
              </w:rPr>
              <w:t>(ב)</w:t>
            </w:r>
            <w:r>
              <w:rPr>
                <w:rtl/>
              </w:rPr>
              <w:tab/>
            </w:r>
            <w:r w:rsidRPr="00AC0064">
              <w:rPr>
                <w:rtl/>
              </w:rPr>
              <w:t>המועד לפרסומם באתר אינטרנט של תכנית, הודעה או מסמך שיש לפרסמם לפי חוק זה יהיה עם</w:t>
            </w:r>
            <w:r>
              <w:rPr>
                <w:rtl/>
              </w:rPr>
              <w:t xml:space="preserve"> מועד פרסומם הראשון בעיתון או עם  הפרסום הראשון לגביהם לפי חוק זה, לפי העניין, והם לא יוסרו מהאתר, ואולם הודעה לפי סעיף 149 לעניין שימוש חורג ניתן להסיר בתום תקופת תוקפו של השימוש החורג נושא ההודעה; מועד הפרסום באתר האינטרנט לא ישפיע על מניינן של תקופות לפי חוק זה הנמנות ממועד הפרסום.</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4647" w:type="dxa"/>
            <w:gridSpan w:val="2"/>
          </w:tcPr>
          <w:p w:rsidR="00251044" w:rsidRDefault="00251044" w:rsidP="00EA3D6A">
            <w:pPr>
              <w:pStyle w:val="TableBlock"/>
            </w:pPr>
            <w:r>
              <w:rPr>
                <w:rtl/>
              </w:rPr>
              <w:t>(ג)</w:t>
            </w:r>
            <w:r>
              <w:rPr>
                <w:rtl/>
              </w:rPr>
              <w:tab/>
              <w:t>שר הפנים, באישור ועדת הפנים והגנת הסביבה של הכנסת, רשאי לקבוע הוראות בעניינים אלה:</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4023" w:type="dxa"/>
          </w:tcPr>
          <w:p w:rsidR="00251044" w:rsidRPr="004E176A" w:rsidRDefault="00251044" w:rsidP="00EA3D6A">
            <w:pPr>
              <w:pStyle w:val="TableBlock"/>
            </w:pPr>
            <w:r>
              <w:rPr>
                <w:rtl/>
              </w:rPr>
              <w:t>(1)</w:t>
            </w:r>
            <w:r>
              <w:rPr>
                <w:rtl/>
              </w:rPr>
              <w:tab/>
              <w:t>מבנה ומאפיינים אחרים של אתר אינטרנט, לרבות אמצעים טכנולוגיים שישמשו בהפעלתו ואבטחת המידע בו;</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4023" w:type="dxa"/>
          </w:tcPr>
          <w:p w:rsidR="00251044" w:rsidRPr="001D1375" w:rsidRDefault="00251044" w:rsidP="00EA3D6A">
            <w:pPr>
              <w:pStyle w:val="TableBlock"/>
            </w:pPr>
            <w:r>
              <w:rPr>
                <w:rtl/>
              </w:rPr>
              <w:t>(2)</w:t>
            </w:r>
            <w:r>
              <w:rPr>
                <w:rtl/>
              </w:rPr>
              <w:tab/>
              <w:t>צורת תכניות, הודעות או מסמכים המתפרסמים באתר אינטרנט ופרטים נוספים הנוגעים לאופן פרסומם;</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4023" w:type="dxa"/>
          </w:tcPr>
          <w:p w:rsidR="00251044" w:rsidRDefault="00251044" w:rsidP="00EA3D6A">
            <w:pPr>
              <w:pStyle w:val="TableBlock"/>
            </w:pPr>
            <w:r>
              <w:rPr>
                <w:rtl/>
              </w:rPr>
              <w:t>(3)</w:t>
            </w:r>
            <w:r>
              <w:rPr>
                <w:rtl/>
              </w:rPr>
              <w:tab/>
              <w:t>מסמכים נוספים שיש לפרסמם באתר אינטרנט;</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4023" w:type="dxa"/>
          </w:tcPr>
          <w:p w:rsidR="00251044" w:rsidRDefault="00251044" w:rsidP="00EA3D6A">
            <w:pPr>
              <w:pStyle w:val="TableBlock"/>
            </w:pPr>
            <w:r>
              <w:rPr>
                <w:rtl/>
              </w:rPr>
              <w:t>(4)</w:t>
            </w:r>
            <w:r>
              <w:rPr>
                <w:rtl/>
              </w:rPr>
              <w:tab/>
              <w:t>תכניות, הודעות או מסמכים, או חלקים מהם, שאין חובה לפרסמם באתר אינטרנט לצמיתות או שאין חובה לפרסמם כלל, לרבות בשל חשש לפגיעה בפרטיותו של אדם או בזכויות אחרות;</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4023" w:type="dxa"/>
          </w:tcPr>
          <w:p w:rsidR="00251044" w:rsidRPr="000A6112" w:rsidRDefault="00251044" w:rsidP="00EA3D6A">
            <w:pPr>
              <w:pStyle w:val="TableBlock"/>
            </w:pPr>
            <w:r>
              <w:rPr>
                <w:rtl/>
              </w:rPr>
              <w:t>(5)</w:t>
            </w:r>
            <w:r>
              <w:rPr>
                <w:rtl/>
              </w:rPr>
              <w:tab/>
              <w:t>פטור לוועדה מקומית מסוימת או לסוגים של ועדות מקומיות מחובת הפרסום באתר אינטרנט, לפרק זמן שלא יעלה על שנה."</w:t>
            </w:r>
          </w:p>
        </w:tc>
      </w:tr>
      <w:tr w:rsidR="00251044" w:rsidTr="00EA3D6A">
        <w:trPr>
          <w:cantSplit/>
          <w:jc w:val="center"/>
        </w:trPr>
        <w:tc>
          <w:tcPr>
            <w:tcW w:w="1869" w:type="dxa"/>
          </w:tcPr>
          <w:p w:rsidR="00251044" w:rsidRDefault="00251044" w:rsidP="00EA3D6A">
            <w:pPr>
              <w:pStyle w:val="TableSideHeading"/>
            </w:pPr>
            <w:r>
              <w:rPr>
                <w:rtl/>
              </w:rPr>
              <w:t>תיקון סעיף 52</w:t>
            </w:r>
          </w:p>
        </w:tc>
        <w:tc>
          <w:tcPr>
            <w:tcW w:w="624" w:type="dxa"/>
          </w:tcPr>
          <w:p w:rsidR="00251044" w:rsidRDefault="00251044" w:rsidP="00EA3D6A">
            <w:pPr>
              <w:pStyle w:val="TableText"/>
            </w:pPr>
            <w:r>
              <w:rPr>
                <w:rtl/>
              </w:rPr>
              <w:t>3.</w:t>
            </w:r>
          </w:p>
        </w:tc>
        <w:tc>
          <w:tcPr>
            <w:tcW w:w="7143" w:type="dxa"/>
            <w:gridSpan w:val="6"/>
          </w:tcPr>
          <w:p w:rsidR="00251044" w:rsidRDefault="00251044" w:rsidP="00EA3D6A">
            <w:pPr>
              <w:pStyle w:val="TableBlock"/>
            </w:pPr>
            <w:r>
              <w:rPr>
                <w:rtl/>
              </w:rPr>
              <w:t>בסעיף 52 לחוק העיקרי, אחרי סעיף קטן (ב) יבוא:</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7143" w:type="dxa"/>
            <w:gridSpan w:val="6"/>
          </w:tcPr>
          <w:p w:rsidR="00251044" w:rsidRDefault="00251044" w:rsidP="00EA3D6A">
            <w:pPr>
              <w:pStyle w:val="TableBlock"/>
            </w:pPr>
            <w:r>
              <w:rPr>
                <w:rtl/>
              </w:rPr>
              <w:t>"(ג)</w:t>
            </w:r>
            <w:r>
              <w:rPr>
                <w:rtl/>
              </w:rPr>
              <w:tab/>
              <w:t>תכנית כאמור בסעיף קטן (א) תפורסם באתר האינטרנט של משרד הפנים, החל מיום מסירתה לוועדות המחוזיות."</w:t>
            </w:r>
          </w:p>
        </w:tc>
      </w:tr>
      <w:tr w:rsidR="00251044" w:rsidTr="00EA3D6A">
        <w:trPr>
          <w:cantSplit/>
          <w:jc w:val="center"/>
        </w:trPr>
        <w:tc>
          <w:tcPr>
            <w:tcW w:w="1869" w:type="dxa"/>
          </w:tcPr>
          <w:p w:rsidR="00251044" w:rsidRDefault="00251044" w:rsidP="00EA3D6A">
            <w:pPr>
              <w:pStyle w:val="TableSideHeading"/>
            </w:pPr>
            <w:r>
              <w:rPr>
                <w:rtl/>
              </w:rPr>
              <w:lastRenderedPageBreak/>
              <w:t>תיקון סעיף 54</w:t>
            </w:r>
          </w:p>
        </w:tc>
        <w:tc>
          <w:tcPr>
            <w:tcW w:w="624" w:type="dxa"/>
          </w:tcPr>
          <w:p w:rsidR="00251044" w:rsidRDefault="00251044" w:rsidP="00EA3D6A">
            <w:pPr>
              <w:pStyle w:val="TableText"/>
            </w:pPr>
            <w:r>
              <w:rPr>
                <w:rtl/>
              </w:rPr>
              <w:t>4.</w:t>
            </w:r>
          </w:p>
        </w:tc>
        <w:tc>
          <w:tcPr>
            <w:tcW w:w="7143" w:type="dxa"/>
            <w:gridSpan w:val="6"/>
          </w:tcPr>
          <w:p w:rsidR="00251044" w:rsidRPr="00C34DE2" w:rsidRDefault="00251044" w:rsidP="00EA3D6A">
            <w:pPr>
              <w:pStyle w:val="TableBlock"/>
            </w:pPr>
            <w:r>
              <w:rPr>
                <w:rtl/>
              </w:rPr>
              <w:t>בסעיף 54 לחוק העיקרי, האמור בו יסומן "(א)", ואחריו יבוא:</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7143" w:type="dxa"/>
            <w:gridSpan w:val="6"/>
          </w:tcPr>
          <w:p w:rsidR="00251044" w:rsidRDefault="00251044" w:rsidP="00EA3D6A">
            <w:pPr>
              <w:pStyle w:val="TableBlock"/>
            </w:pPr>
            <w:r>
              <w:rPr>
                <w:rtl/>
              </w:rPr>
              <w:t>"(ב)</w:t>
            </w:r>
            <w:r>
              <w:rPr>
                <w:rtl/>
              </w:rPr>
              <w:tab/>
              <w:t>בלי לגרוע מהאמור בסעיף קטן (א), תכנית מתאר ארצית תפורסם באתר האינטרנט של משרד הפנים עם אישורה על ידי הממשלה."</w:t>
            </w:r>
          </w:p>
        </w:tc>
      </w:tr>
      <w:tr w:rsidR="00251044" w:rsidTr="00EA3D6A">
        <w:trPr>
          <w:cantSplit/>
          <w:jc w:val="center"/>
        </w:trPr>
        <w:tc>
          <w:tcPr>
            <w:tcW w:w="1869" w:type="dxa"/>
          </w:tcPr>
          <w:p w:rsidR="00251044" w:rsidRDefault="00251044" w:rsidP="00EA3D6A">
            <w:pPr>
              <w:pStyle w:val="TableSideHeading"/>
            </w:pPr>
            <w:r>
              <w:rPr>
                <w:rtl/>
              </w:rPr>
              <w:t>תיקון סעיף 88</w:t>
            </w:r>
          </w:p>
        </w:tc>
        <w:tc>
          <w:tcPr>
            <w:tcW w:w="624" w:type="dxa"/>
          </w:tcPr>
          <w:p w:rsidR="00251044" w:rsidRDefault="00251044" w:rsidP="00EA3D6A">
            <w:pPr>
              <w:pStyle w:val="TableText"/>
            </w:pPr>
            <w:r>
              <w:rPr>
                <w:rtl/>
              </w:rPr>
              <w:t>5.</w:t>
            </w:r>
          </w:p>
        </w:tc>
        <w:tc>
          <w:tcPr>
            <w:tcW w:w="7143" w:type="dxa"/>
            <w:gridSpan w:val="6"/>
          </w:tcPr>
          <w:p w:rsidR="00251044" w:rsidRPr="00C34DE2" w:rsidRDefault="00251044" w:rsidP="00EA3D6A">
            <w:pPr>
              <w:pStyle w:val="TableBlock"/>
            </w:pPr>
            <w:r>
              <w:rPr>
                <w:rtl/>
              </w:rPr>
              <w:t>בסעיף 88 לחוק העיקרי, האמור בו יסומן "(א)", ואחריו יבוא:</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7143" w:type="dxa"/>
            <w:gridSpan w:val="6"/>
          </w:tcPr>
          <w:p w:rsidR="00251044" w:rsidRDefault="00251044" w:rsidP="00EA3D6A">
            <w:pPr>
              <w:pStyle w:val="TableBlock"/>
            </w:pPr>
            <w:r>
              <w:rPr>
                <w:rtl/>
              </w:rPr>
              <w:t>"(ב)</w:t>
            </w:r>
            <w:r>
              <w:rPr>
                <w:rtl/>
              </w:rPr>
              <w:tab/>
              <w:t xml:space="preserve">תכנית שהופקדה כאמור בסעיף קטן (א), תפורסם באתרי אינטרנט כמפורט להלן: </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519" w:type="dxa"/>
            <w:gridSpan w:val="5"/>
          </w:tcPr>
          <w:p w:rsidR="00251044" w:rsidRPr="000550DA" w:rsidRDefault="00251044" w:rsidP="00EA3D6A">
            <w:pPr>
              <w:pStyle w:val="TableBlock"/>
            </w:pPr>
            <w:r>
              <w:rPr>
                <w:rtl/>
              </w:rPr>
              <w:t>(1)</w:t>
            </w:r>
            <w:r>
              <w:rPr>
                <w:rtl/>
              </w:rPr>
              <w:tab/>
              <w:t>תכנית בסמכות ועדה מקומית, כהגדרתה בסעיף 61א – באתר האינטרנט של הוועדה המקומית או באתר האינטרנט של רשות מקומית הנוגעת בדבר;</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519" w:type="dxa"/>
            <w:gridSpan w:val="5"/>
          </w:tcPr>
          <w:p w:rsidR="00251044" w:rsidRDefault="00251044" w:rsidP="00EA3D6A">
            <w:pPr>
              <w:pStyle w:val="TableBlock"/>
            </w:pPr>
            <w:r>
              <w:rPr>
                <w:rtl/>
              </w:rPr>
              <w:t>(2)</w:t>
            </w:r>
            <w:r>
              <w:rPr>
                <w:rtl/>
              </w:rPr>
              <w:tab/>
              <w:t>תכנית אחרת – באתר האינטרנט של משרד הפנים.</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7143" w:type="dxa"/>
            <w:gridSpan w:val="6"/>
          </w:tcPr>
          <w:p w:rsidR="00251044" w:rsidRDefault="00251044" w:rsidP="00EA3D6A">
            <w:pPr>
              <w:pStyle w:val="TableBlock"/>
            </w:pPr>
            <w:r>
              <w:rPr>
                <w:rtl/>
              </w:rPr>
              <w:t>(ג)</w:t>
            </w:r>
            <w:r>
              <w:rPr>
                <w:rtl/>
              </w:rPr>
              <w:tab/>
              <w:t>על תכנית שפורסמה כאמור בסעיף קטן (ב)(1) יחולו הוראות סעיף 1ב(ב), בשינויים המחויבים."</w:t>
            </w:r>
          </w:p>
        </w:tc>
      </w:tr>
      <w:tr w:rsidR="00251044" w:rsidTr="00EA3D6A">
        <w:trPr>
          <w:cantSplit/>
          <w:jc w:val="center"/>
        </w:trPr>
        <w:tc>
          <w:tcPr>
            <w:tcW w:w="1869" w:type="dxa"/>
          </w:tcPr>
          <w:p w:rsidR="00251044" w:rsidRDefault="00251044" w:rsidP="00EA3D6A">
            <w:pPr>
              <w:pStyle w:val="TableSideHeading"/>
            </w:pPr>
            <w:r>
              <w:rPr>
                <w:rtl/>
              </w:rPr>
              <w:t>תיקון סעיף 92</w:t>
            </w:r>
          </w:p>
        </w:tc>
        <w:tc>
          <w:tcPr>
            <w:tcW w:w="624" w:type="dxa"/>
          </w:tcPr>
          <w:p w:rsidR="00251044" w:rsidRDefault="00251044" w:rsidP="00EA3D6A">
            <w:pPr>
              <w:pStyle w:val="TableText"/>
            </w:pPr>
            <w:r>
              <w:rPr>
                <w:rtl/>
              </w:rPr>
              <w:t>6.</w:t>
            </w:r>
          </w:p>
        </w:tc>
        <w:tc>
          <w:tcPr>
            <w:tcW w:w="7143" w:type="dxa"/>
            <w:gridSpan w:val="6"/>
          </w:tcPr>
          <w:p w:rsidR="00251044" w:rsidRDefault="00251044" w:rsidP="00EA3D6A">
            <w:pPr>
              <w:pStyle w:val="TableBlock"/>
            </w:pPr>
            <w:r>
              <w:rPr>
                <w:rtl/>
              </w:rPr>
              <w:t>בסעיף 92 לחוק העיקרי, האמור בו יסומן "(א)", ואחריו יבוא:</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7143" w:type="dxa"/>
            <w:gridSpan w:val="6"/>
          </w:tcPr>
          <w:p w:rsidR="00251044" w:rsidRPr="00AE7E59" w:rsidRDefault="00251044" w:rsidP="00EA3D6A">
            <w:pPr>
              <w:pStyle w:val="TableBlock"/>
            </w:pPr>
            <w:r w:rsidRPr="00AE7E59">
              <w:rPr>
                <w:rtl/>
              </w:rPr>
              <w:t>"(ב)</w:t>
            </w:r>
            <w:r w:rsidRPr="00AE7E59">
              <w:rPr>
                <w:rtl/>
              </w:rPr>
              <w:tab/>
              <w:t>לא צוינו בהודעה כאמור בסעיף קטן (א) מספרי הגוש והחלקה, הרחוב ומספרי הבתים שהתכנית נוגעת להם, כולם או חלקם, תכלול ההודעה תיאור כללי של הסביבה שבה נמצא תחום התכנית, באופן המאפשר לזהותה."</w:t>
            </w:r>
          </w:p>
        </w:tc>
      </w:tr>
      <w:tr w:rsidR="00251044" w:rsidTr="00EA3D6A">
        <w:trPr>
          <w:cantSplit/>
          <w:jc w:val="center"/>
        </w:trPr>
        <w:tc>
          <w:tcPr>
            <w:tcW w:w="1869" w:type="dxa"/>
          </w:tcPr>
          <w:p w:rsidR="00251044" w:rsidRDefault="00251044" w:rsidP="00EA3D6A">
            <w:pPr>
              <w:pStyle w:val="TableSideHeading"/>
            </w:pPr>
            <w:r>
              <w:rPr>
                <w:rtl/>
              </w:rPr>
              <w:t>תיקון סעיף 118</w:t>
            </w:r>
          </w:p>
        </w:tc>
        <w:tc>
          <w:tcPr>
            <w:tcW w:w="624" w:type="dxa"/>
          </w:tcPr>
          <w:p w:rsidR="00251044" w:rsidRDefault="00251044" w:rsidP="00EA3D6A">
            <w:pPr>
              <w:pStyle w:val="TableText"/>
            </w:pPr>
            <w:r>
              <w:rPr>
                <w:rtl/>
              </w:rPr>
              <w:t>7.</w:t>
            </w:r>
          </w:p>
        </w:tc>
        <w:tc>
          <w:tcPr>
            <w:tcW w:w="7143" w:type="dxa"/>
            <w:gridSpan w:val="6"/>
          </w:tcPr>
          <w:p w:rsidR="00251044" w:rsidRDefault="00251044" w:rsidP="00EA3D6A">
            <w:pPr>
              <w:pStyle w:val="TableBlock"/>
            </w:pPr>
            <w:r>
              <w:rPr>
                <w:rtl/>
              </w:rPr>
              <w:t xml:space="preserve">בסעיף 118 לחוק העיקרי – </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7143" w:type="dxa"/>
            <w:gridSpan w:val="6"/>
          </w:tcPr>
          <w:p w:rsidR="00251044" w:rsidRDefault="00251044" w:rsidP="00EA3D6A">
            <w:pPr>
              <w:pStyle w:val="TableBlock"/>
            </w:pPr>
            <w:r>
              <w:rPr>
                <w:rtl/>
              </w:rPr>
              <w:t>(1)</w:t>
            </w:r>
            <w:r>
              <w:rPr>
                <w:rtl/>
              </w:rPr>
              <w:tab/>
              <w:t>בכותרת השוליים, אחרי "שמירת תכנית" יבוא "ופרסומה";</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7143" w:type="dxa"/>
            <w:gridSpan w:val="6"/>
          </w:tcPr>
          <w:p w:rsidR="00251044" w:rsidRPr="004D2015" w:rsidRDefault="00251044" w:rsidP="00EA3D6A">
            <w:pPr>
              <w:pStyle w:val="TableBlock"/>
            </w:pPr>
            <w:r>
              <w:rPr>
                <w:rtl/>
              </w:rPr>
              <w:t>(2)</w:t>
            </w:r>
            <w:r>
              <w:rPr>
                <w:rtl/>
              </w:rPr>
              <w:tab/>
              <w:t>האמור בו יסומן "(א)", ואחריו יבוא:</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519" w:type="dxa"/>
            <w:gridSpan w:val="5"/>
          </w:tcPr>
          <w:p w:rsidR="00251044" w:rsidRDefault="00251044" w:rsidP="00EA3D6A">
            <w:pPr>
              <w:pStyle w:val="TableBlock"/>
            </w:pPr>
            <w:r>
              <w:rPr>
                <w:rtl/>
              </w:rPr>
              <w:t>"(ב)</w:t>
            </w:r>
            <w:r>
              <w:rPr>
                <w:rtl/>
              </w:rPr>
              <w:tab/>
              <w:t>תכנית, לאחר שאושרה לפי סימן זה, תפורסם באתר האינטרנט כמפורט להלן:</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5895" w:type="dxa"/>
            <w:gridSpan w:val="4"/>
          </w:tcPr>
          <w:p w:rsidR="00251044" w:rsidRDefault="00251044" w:rsidP="00EA3D6A">
            <w:pPr>
              <w:pStyle w:val="TableBlock"/>
            </w:pPr>
            <w:r>
              <w:rPr>
                <w:rtl/>
              </w:rPr>
              <w:t>(1)</w:t>
            </w:r>
            <w:r>
              <w:rPr>
                <w:rtl/>
              </w:rPr>
              <w:tab/>
              <w:t>תכנית בסמכות ועדה מקומית, כהגדרתה בסעיף 61א – באתר האינטרנט של הוועדה המקומית או באתר האינטרנט של רשות מקומית הנוגעת בדבר;</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5895" w:type="dxa"/>
            <w:gridSpan w:val="4"/>
          </w:tcPr>
          <w:p w:rsidR="00251044" w:rsidRDefault="00251044" w:rsidP="00EA3D6A">
            <w:pPr>
              <w:pStyle w:val="TableBlock"/>
            </w:pPr>
            <w:r>
              <w:rPr>
                <w:rtl/>
              </w:rPr>
              <w:t>(2)</w:t>
            </w:r>
            <w:r>
              <w:rPr>
                <w:rtl/>
              </w:rPr>
              <w:tab/>
              <w:t>תכנית אחרת – באתר האינטרנט של משרד הפנים.</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624" w:type="dxa"/>
          </w:tcPr>
          <w:p w:rsidR="00251044" w:rsidRDefault="00251044" w:rsidP="00EA3D6A">
            <w:pPr>
              <w:pStyle w:val="TableText"/>
            </w:pPr>
          </w:p>
        </w:tc>
        <w:tc>
          <w:tcPr>
            <w:tcW w:w="6519" w:type="dxa"/>
            <w:gridSpan w:val="5"/>
          </w:tcPr>
          <w:p w:rsidR="00251044" w:rsidRDefault="00251044" w:rsidP="00EA3D6A">
            <w:pPr>
              <w:pStyle w:val="TableBlock"/>
            </w:pPr>
            <w:r>
              <w:rPr>
                <w:rtl/>
              </w:rPr>
              <w:t>(ג)</w:t>
            </w:r>
            <w:r>
              <w:rPr>
                <w:rtl/>
              </w:rPr>
              <w:tab/>
              <w:t>על תכנית שפורסמה כאמור בסעיף קטן (ב)(1) יחולו הוראות סעיף 1ב(ב), בשינויים המחויבים."</w:t>
            </w:r>
          </w:p>
        </w:tc>
      </w:tr>
      <w:tr w:rsidR="00251044" w:rsidTr="00EA3D6A">
        <w:trPr>
          <w:cantSplit/>
          <w:jc w:val="center"/>
        </w:trPr>
        <w:tc>
          <w:tcPr>
            <w:tcW w:w="1869" w:type="dxa"/>
          </w:tcPr>
          <w:p w:rsidR="00251044" w:rsidRDefault="00251044" w:rsidP="00EA3D6A">
            <w:pPr>
              <w:pStyle w:val="TableSideHeading"/>
            </w:pPr>
            <w:r>
              <w:rPr>
                <w:rtl/>
              </w:rPr>
              <w:t>תיקון סעיף 119</w:t>
            </w:r>
          </w:p>
        </w:tc>
        <w:tc>
          <w:tcPr>
            <w:tcW w:w="624" w:type="dxa"/>
          </w:tcPr>
          <w:p w:rsidR="00251044" w:rsidRDefault="00251044" w:rsidP="00EA3D6A">
            <w:pPr>
              <w:pStyle w:val="TableText"/>
            </w:pPr>
            <w:r>
              <w:rPr>
                <w:rtl/>
              </w:rPr>
              <w:t>8.</w:t>
            </w:r>
          </w:p>
        </w:tc>
        <w:tc>
          <w:tcPr>
            <w:tcW w:w="7143" w:type="dxa"/>
            <w:gridSpan w:val="6"/>
          </w:tcPr>
          <w:p w:rsidR="00251044" w:rsidRDefault="00251044" w:rsidP="00EA3D6A">
            <w:pPr>
              <w:pStyle w:val="TableBlock"/>
            </w:pPr>
            <w:r>
              <w:rPr>
                <w:rtl/>
              </w:rPr>
              <w:t xml:space="preserve">בסעיף 119(א) לחוק העיקרי, בסופו יבוא "מבין ההודעות ברשומות או בעיתון." </w:t>
            </w:r>
          </w:p>
        </w:tc>
      </w:tr>
      <w:tr w:rsidR="00251044" w:rsidTr="00EA3D6A">
        <w:trPr>
          <w:cantSplit/>
          <w:jc w:val="center"/>
        </w:trPr>
        <w:tc>
          <w:tcPr>
            <w:tcW w:w="1869" w:type="dxa"/>
          </w:tcPr>
          <w:p w:rsidR="00251044" w:rsidRDefault="00251044" w:rsidP="00EA3D6A">
            <w:pPr>
              <w:pStyle w:val="TableSideHeading"/>
            </w:pPr>
            <w:r>
              <w:rPr>
                <w:rtl/>
              </w:rPr>
              <w:t>תחילה</w:t>
            </w:r>
          </w:p>
        </w:tc>
        <w:tc>
          <w:tcPr>
            <w:tcW w:w="624" w:type="dxa"/>
          </w:tcPr>
          <w:p w:rsidR="00251044" w:rsidRDefault="00251044" w:rsidP="00EA3D6A">
            <w:pPr>
              <w:pStyle w:val="TableText"/>
            </w:pPr>
            <w:r>
              <w:rPr>
                <w:rtl/>
              </w:rPr>
              <w:t>9.</w:t>
            </w:r>
          </w:p>
        </w:tc>
        <w:tc>
          <w:tcPr>
            <w:tcW w:w="7143" w:type="dxa"/>
            <w:gridSpan w:val="6"/>
          </w:tcPr>
          <w:p w:rsidR="00251044" w:rsidRPr="00C34DE2" w:rsidRDefault="00251044" w:rsidP="00EA3D6A">
            <w:pPr>
              <w:pStyle w:val="TableBlock"/>
            </w:pPr>
            <w:r>
              <w:rPr>
                <w:rtl/>
              </w:rPr>
              <w:t>(א)</w:t>
            </w:r>
            <w:r>
              <w:rPr>
                <w:rtl/>
              </w:rPr>
              <w:tab/>
              <w:t>תחילתו של חוק זה שלושים ימים מיום פרסומו.</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7143" w:type="dxa"/>
            <w:gridSpan w:val="6"/>
          </w:tcPr>
          <w:p w:rsidR="00251044" w:rsidRDefault="00251044" w:rsidP="00EA3D6A">
            <w:pPr>
              <w:pStyle w:val="TableBlock"/>
            </w:pPr>
            <w:r>
              <w:rPr>
                <w:rtl/>
              </w:rPr>
              <w:t>(ב)</w:t>
            </w:r>
            <w:r>
              <w:rPr>
                <w:rtl/>
              </w:rPr>
              <w:tab/>
              <w:t xml:space="preserve">תחילתם של סעיפים 52(ג), 54(ב), 88(ב) ו-118(ב) לחוק העיקרי, כנוסחם בסעיפים 3 עד 5 ו-7 לחוק זה, ביום ט' בתמוז </w:t>
            </w:r>
            <w:proofErr w:type="spellStart"/>
            <w:r>
              <w:rPr>
                <w:rtl/>
              </w:rPr>
              <w:t>התשס"ט</w:t>
            </w:r>
            <w:proofErr w:type="spellEnd"/>
            <w:r>
              <w:rPr>
                <w:rtl/>
              </w:rPr>
              <w:t xml:space="preserve"> (1 ביולי 2009).</w:t>
            </w:r>
          </w:p>
        </w:tc>
      </w:tr>
      <w:tr w:rsidR="00251044" w:rsidTr="00EA3D6A">
        <w:trPr>
          <w:cantSplit/>
          <w:jc w:val="center"/>
        </w:trPr>
        <w:tc>
          <w:tcPr>
            <w:tcW w:w="1869" w:type="dxa"/>
          </w:tcPr>
          <w:p w:rsidR="00251044" w:rsidRDefault="00251044" w:rsidP="00EA3D6A">
            <w:pPr>
              <w:pStyle w:val="TableSideHeading"/>
            </w:pPr>
          </w:p>
        </w:tc>
        <w:tc>
          <w:tcPr>
            <w:tcW w:w="624" w:type="dxa"/>
          </w:tcPr>
          <w:p w:rsidR="00251044" w:rsidRDefault="00251044" w:rsidP="00EA3D6A">
            <w:pPr>
              <w:pStyle w:val="TableText"/>
            </w:pPr>
          </w:p>
        </w:tc>
        <w:tc>
          <w:tcPr>
            <w:tcW w:w="7143" w:type="dxa"/>
            <w:gridSpan w:val="6"/>
          </w:tcPr>
          <w:p w:rsidR="00251044" w:rsidRDefault="00251044" w:rsidP="00EA3D6A">
            <w:pPr>
              <w:pStyle w:val="TableBlock"/>
            </w:pPr>
            <w:r>
              <w:rPr>
                <w:rtl/>
              </w:rPr>
              <w:t>(ג)</w:t>
            </w:r>
            <w:r>
              <w:rPr>
                <w:rtl/>
              </w:rPr>
              <w:tab/>
              <w:t xml:space="preserve">תחילתם של סעיפים 1ב(ב), 88(ג) ו-118(ג) לחוק העיקרי, כנוסחם בסעיפים 2, 5 ו-7 לחוק זה, ביום ט"ו בטבת </w:t>
            </w:r>
            <w:proofErr w:type="spellStart"/>
            <w:r>
              <w:rPr>
                <w:rtl/>
              </w:rPr>
              <w:t>התש"ע</w:t>
            </w:r>
            <w:proofErr w:type="spellEnd"/>
            <w:r>
              <w:rPr>
                <w:rtl/>
              </w:rPr>
              <w:t xml:space="preserve"> (1 בינואר 2010).</w:t>
            </w:r>
          </w:p>
        </w:tc>
      </w:tr>
    </w:tbl>
    <w:p w:rsidR="00251044" w:rsidRPr="00E125CC" w:rsidRDefault="00251044" w:rsidP="00251044">
      <w:pPr>
        <w:pStyle w:val="Noparagraphstyle"/>
        <w:rPr>
          <w:sz w:val="26"/>
          <w:rtl/>
        </w:rPr>
      </w:pPr>
    </w:p>
    <w:p w:rsidR="00251044" w:rsidRPr="00E125CC" w:rsidRDefault="00251044" w:rsidP="00251044">
      <w:pPr>
        <w:pStyle w:val="Noparagraphstyle"/>
        <w:rPr>
          <w:sz w:val="26"/>
          <w:rtl/>
        </w:rPr>
      </w:pPr>
    </w:p>
    <w:p w:rsidR="00251044" w:rsidRPr="00E125CC" w:rsidRDefault="00251044" w:rsidP="00251044">
      <w:pPr>
        <w:pStyle w:val="Noparagraphstyle"/>
        <w:rPr>
          <w:sz w:val="26"/>
          <w:rtl/>
        </w:rPr>
      </w:pPr>
    </w:p>
    <w:p w:rsidR="00251044" w:rsidRPr="00E125CC" w:rsidRDefault="00251044" w:rsidP="00251044">
      <w:pPr>
        <w:pStyle w:val="Noparagraphstyle"/>
        <w:rPr>
          <w:sz w:val="26"/>
          <w:rtl/>
        </w:rPr>
      </w:pPr>
    </w:p>
    <w:p w:rsidR="00251044" w:rsidRPr="00E125CC" w:rsidRDefault="00251044" w:rsidP="00251044">
      <w:pPr>
        <w:pStyle w:val="Noparagraphstyle"/>
        <w:rPr>
          <w:sz w:val="26"/>
          <w:rtl/>
        </w:rPr>
      </w:pPr>
    </w:p>
    <w:tbl>
      <w:tblPr>
        <w:tblStyle w:val="ab"/>
        <w:bidiVisual/>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268"/>
        <w:gridCol w:w="2268"/>
        <w:gridCol w:w="2268"/>
        <w:gridCol w:w="2835"/>
      </w:tblGrid>
      <w:tr w:rsidR="00251044" w:rsidRPr="00515985" w:rsidTr="00EA3D6A">
        <w:trPr>
          <w:jc w:val="center"/>
        </w:trPr>
        <w:tc>
          <w:tcPr>
            <w:tcW w:w="2268" w:type="dxa"/>
          </w:tcPr>
          <w:p w:rsidR="00251044" w:rsidRPr="00515985" w:rsidRDefault="00251044" w:rsidP="00EA3D6A">
            <w:pPr>
              <w:spacing w:before="0" w:line="360" w:lineRule="auto"/>
              <w:ind w:firstLine="0"/>
              <w:jc w:val="center"/>
              <w:rPr>
                <w:rFonts w:cs="David"/>
                <w:sz w:val="26"/>
                <w:szCs w:val="26"/>
              </w:rPr>
            </w:pPr>
          </w:p>
        </w:tc>
        <w:tc>
          <w:tcPr>
            <w:tcW w:w="2268" w:type="dxa"/>
          </w:tcPr>
          <w:p w:rsidR="00251044" w:rsidRPr="00515985" w:rsidRDefault="00251044" w:rsidP="00EA3D6A">
            <w:pPr>
              <w:spacing w:before="0" w:line="360" w:lineRule="auto"/>
              <w:ind w:firstLine="0"/>
              <w:jc w:val="center"/>
              <w:rPr>
                <w:rFonts w:cs="David"/>
                <w:sz w:val="26"/>
                <w:szCs w:val="26"/>
                <w:rtl/>
              </w:rPr>
            </w:pPr>
            <w:r w:rsidRPr="00515985">
              <w:rPr>
                <w:rFonts w:cs="David" w:hint="cs"/>
                <w:sz w:val="26"/>
                <w:szCs w:val="26"/>
                <w:rtl/>
              </w:rPr>
              <w:t>אהוד</w:t>
            </w:r>
            <w:r w:rsidRPr="00515985">
              <w:rPr>
                <w:rFonts w:cs="David"/>
                <w:sz w:val="26"/>
                <w:szCs w:val="26"/>
                <w:rtl/>
              </w:rPr>
              <w:t xml:space="preserve"> </w:t>
            </w:r>
            <w:r w:rsidRPr="00515985">
              <w:rPr>
                <w:rFonts w:cs="David" w:hint="cs"/>
                <w:sz w:val="26"/>
                <w:szCs w:val="26"/>
                <w:rtl/>
              </w:rPr>
              <w:t>אולמרט</w:t>
            </w:r>
          </w:p>
          <w:p w:rsidR="00251044" w:rsidRPr="00515985" w:rsidRDefault="00251044" w:rsidP="00EA3D6A">
            <w:pPr>
              <w:spacing w:before="0" w:line="360" w:lineRule="auto"/>
              <w:ind w:firstLine="0"/>
              <w:jc w:val="center"/>
              <w:rPr>
                <w:rFonts w:cs="David"/>
                <w:sz w:val="26"/>
                <w:szCs w:val="26"/>
              </w:rPr>
            </w:pPr>
            <w:r w:rsidRPr="00515985">
              <w:rPr>
                <w:rFonts w:cs="David" w:hint="cs"/>
                <w:sz w:val="26"/>
                <w:szCs w:val="26"/>
                <w:rtl/>
              </w:rPr>
              <w:t>ראש</w:t>
            </w:r>
            <w:r w:rsidRPr="00515985">
              <w:rPr>
                <w:rFonts w:cs="David"/>
                <w:sz w:val="26"/>
                <w:szCs w:val="26"/>
                <w:rtl/>
              </w:rPr>
              <w:t xml:space="preserve"> </w:t>
            </w:r>
            <w:r w:rsidRPr="00515985">
              <w:rPr>
                <w:rFonts w:cs="David" w:hint="cs"/>
                <w:sz w:val="26"/>
                <w:szCs w:val="26"/>
                <w:rtl/>
              </w:rPr>
              <w:t>הממשלה</w:t>
            </w:r>
          </w:p>
        </w:tc>
        <w:tc>
          <w:tcPr>
            <w:tcW w:w="2268" w:type="dxa"/>
          </w:tcPr>
          <w:p w:rsidR="00251044" w:rsidRPr="00515985" w:rsidRDefault="00251044" w:rsidP="00EA3D6A">
            <w:pPr>
              <w:spacing w:before="0" w:line="360" w:lineRule="auto"/>
              <w:ind w:firstLine="0"/>
              <w:jc w:val="center"/>
              <w:rPr>
                <w:rFonts w:cs="David"/>
                <w:sz w:val="26"/>
                <w:szCs w:val="26"/>
              </w:rPr>
            </w:pPr>
          </w:p>
        </w:tc>
        <w:tc>
          <w:tcPr>
            <w:tcW w:w="2835" w:type="dxa"/>
          </w:tcPr>
          <w:p w:rsidR="00251044" w:rsidRPr="00515985" w:rsidRDefault="00251044" w:rsidP="00EA3D6A">
            <w:pPr>
              <w:spacing w:before="0" w:line="360" w:lineRule="auto"/>
              <w:ind w:firstLine="0"/>
              <w:jc w:val="center"/>
              <w:rPr>
                <w:rFonts w:cs="David"/>
                <w:sz w:val="26"/>
                <w:szCs w:val="26"/>
                <w:rtl/>
              </w:rPr>
            </w:pPr>
            <w:r>
              <w:rPr>
                <w:rFonts w:cs="David" w:hint="cs"/>
                <w:sz w:val="26"/>
                <w:szCs w:val="26"/>
                <w:rtl/>
              </w:rPr>
              <w:t>מאיר</w:t>
            </w:r>
            <w:r>
              <w:rPr>
                <w:rFonts w:cs="David"/>
                <w:sz w:val="26"/>
                <w:szCs w:val="26"/>
                <w:rtl/>
              </w:rPr>
              <w:t xml:space="preserve"> </w:t>
            </w:r>
            <w:r>
              <w:rPr>
                <w:rFonts w:cs="David" w:hint="cs"/>
                <w:sz w:val="26"/>
                <w:szCs w:val="26"/>
                <w:rtl/>
              </w:rPr>
              <w:t>שטרית</w:t>
            </w:r>
          </w:p>
          <w:p w:rsidR="00251044" w:rsidRPr="00515985" w:rsidRDefault="00251044" w:rsidP="00EA3D6A">
            <w:pPr>
              <w:spacing w:before="0" w:line="360" w:lineRule="auto"/>
              <w:ind w:firstLine="0"/>
              <w:jc w:val="center"/>
              <w:rPr>
                <w:rFonts w:cs="David"/>
                <w:sz w:val="26"/>
                <w:szCs w:val="26"/>
              </w:rPr>
            </w:pPr>
            <w:r w:rsidRPr="00515985">
              <w:rPr>
                <w:rFonts w:cs="David" w:hint="cs"/>
                <w:sz w:val="26"/>
                <w:szCs w:val="26"/>
                <w:rtl/>
              </w:rPr>
              <w:t>שר</w:t>
            </w:r>
            <w:r w:rsidRPr="00515985">
              <w:rPr>
                <w:rFonts w:cs="David"/>
                <w:sz w:val="26"/>
                <w:szCs w:val="26"/>
                <w:rtl/>
              </w:rPr>
              <w:t xml:space="preserve"> </w:t>
            </w:r>
            <w:r>
              <w:rPr>
                <w:rFonts w:cs="David" w:hint="cs"/>
                <w:sz w:val="26"/>
                <w:szCs w:val="26"/>
                <w:rtl/>
              </w:rPr>
              <w:t>הפנים</w:t>
            </w:r>
          </w:p>
        </w:tc>
      </w:tr>
      <w:tr w:rsidR="00251044" w:rsidRPr="00515985" w:rsidTr="00EA3D6A">
        <w:trPr>
          <w:jc w:val="center"/>
        </w:trPr>
        <w:tc>
          <w:tcPr>
            <w:tcW w:w="2268" w:type="dxa"/>
          </w:tcPr>
          <w:p w:rsidR="00251044" w:rsidRDefault="00251044" w:rsidP="00EA3D6A">
            <w:pPr>
              <w:spacing w:before="0" w:line="360" w:lineRule="auto"/>
              <w:ind w:firstLine="0"/>
              <w:jc w:val="center"/>
              <w:rPr>
                <w:rFonts w:cs="David"/>
                <w:sz w:val="26"/>
                <w:szCs w:val="26"/>
                <w:rtl/>
              </w:rPr>
            </w:pPr>
          </w:p>
          <w:p w:rsidR="00251044" w:rsidRPr="00515985" w:rsidRDefault="00251044" w:rsidP="00EA3D6A">
            <w:pPr>
              <w:spacing w:before="0" w:line="360" w:lineRule="auto"/>
              <w:ind w:firstLine="0"/>
              <w:jc w:val="center"/>
              <w:rPr>
                <w:rFonts w:cs="David"/>
                <w:sz w:val="26"/>
                <w:szCs w:val="26"/>
              </w:rPr>
            </w:pPr>
          </w:p>
        </w:tc>
        <w:tc>
          <w:tcPr>
            <w:tcW w:w="2268" w:type="dxa"/>
          </w:tcPr>
          <w:p w:rsidR="00251044" w:rsidRPr="00515985" w:rsidRDefault="00251044" w:rsidP="00EA3D6A">
            <w:pPr>
              <w:spacing w:before="0" w:line="360" w:lineRule="auto"/>
              <w:ind w:firstLine="0"/>
              <w:jc w:val="center"/>
              <w:rPr>
                <w:rFonts w:cs="David"/>
                <w:sz w:val="26"/>
                <w:szCs w:val="26"/>
              </w:rPr>
            </w:pPr>
          </w:p>
        </w:tc>
        <w:tc>
          <w:tcPr>
            <w:tcW w:w="2268" w:type="dxa"/>
          </w:tcPr>
          <w:p w:rsidR="00251044" w:rsidRPr="00515985" w:rsidRDefault="00251044" w:rsidP="00EA3D6A">
            <w:pPr>
              <w:spacing w:before="0" w:line="360" w:lineRule="auto"/>
              <w:ind w:firstLine="0"/>
              <w:jc w:val="center"/>
              <w:rPr>
                <w:rFonts w:cs="David"/>
                <w:sz w:val="26"/>
                <w:szCs w:val="26"/>
              </w:rPr>
            </w:pPr>
          </w:p>
        </w:tc>
        <w:tc>
          <w:tcPr>
            <w:tcW w:w="2835" w:type="dxa"/>
          </w:tcPr>
          <w:p w:rsidR="00251044" w:rsidRDefault="00251044" w:rsidP="00EA3D6A">
            <w:pPr>
              <w:spacing w:before="0" w:line="360" w:lineRule="auto"/>
              <w:ind w:firstLine="0"/>
              <w:jc w:val="center"/>
              <w:rPr>
                <w:rFonts w:cs="David"/>
                <w:sz w:val="26"/>
                <w:szCs w:val="26"/>
                <w:rtl/>
              </w:rPr>
            </w:pPr>
          </w:p>
          <w:p w:rsidR="00251044" w:rsidRPr="00515985" w:rsidRDefault="00251044" w:rsidP="00EA3D6A">
            <w:pPr>
              <w:spacing w:before="0" w:line="360" w:lineRule="auto"/>
              <w:ind w:firstLine="0"/>
              <w:jc w:val="center"/>
              <w:rPr>
                <w:rFonts w:cs="David"/>
                <w:sz w:val="26"/>
                <w:szCs w:val="26"/>
              </w:rPr>
            </w:pPr>
          </w:p>
        </w:tc>
      </w:tr>
      <w:tr w:rsidR="00251044" w:rsidRPr="00515985" w:rsidTr="00EA3D6A">
        <w:trPr>
          <w:jc w:val="center"/>
        </w:trPr>
        <w:tc>
          <w:tcPr>
            <w:tcW w:w="2268" w:type="dxa"/>
          </w:tcPr>
          <w:p w:rsidR="00251044" w:rsidRPr="00515985" w:rsidRDefault="00251044" w:rsidP="00EA3D6A">
            <w:pPr>
              <w:spacing w:before="0" w:line="360" w:lineRule="auto"/>
              <w:ind w:firstLine="0"/>
              <w:jc w:val="center"/>
              <w:rPr>
                <w:rFonts w:cs="David"/>
                <w:sz w:val="26"/>
                <w:szCs w:val="26"/>
                <w:rtl/>
              </w:rPr>
            </w:pPr>
            <w:r>
              <w:rPr>
                <w:rFonts w:cs="David" w:hint="cs"/>
                <w:sz w:val="26"/>
                <w:szCs w:val="26"/>
                <w:rtl/>
              </w:rPr>
              <w:t>שמעון</w:t>
            </w:r>
            <w:r>
              <w:rPr>
                <w:rFonts w:cs="David"/>
                <w:sz w:val="26"/>
                <w:szCs w:val="26"/>
                <w:rtl/>
              </w:rPr>
              <w:t xml:space="preserve"> </w:t>
            </w:r>
            <w:r>
              <w:rPr>
                <w:rFonts w:cs="David" w:hint="cs"/>
                <w:sz w:val="26"/>
                <w:szCs w:val="26"/>
                <w:rtl/>
              </w:rPr>
              <w:t>פרס</w:t>
            </w:r>
          </w:p>
          <w:p w:rsidR="00251044" w:rsidRPr="00515985" w:rsidRDefault="00251044" w:rsidP="00EA3D6A">
            <w:pPr>
              <w:spacing w:before="0" w:line="360" w:lineRule="auto"/>
              <w:ind w:firstLine="0"/>
              <w:jc w:val="center"/>
              <w:rPr>
                <w:rFonts w:cs="David"/>
                <w:sz w:val="26"/>
                <w:szCs w:val="26"/>
              </w:rPr>
            </w:pPr>
            <w:r w:rsidRPr="00515985">
              <w:rPr>
                <w:rFonts w:cs="David" w:hint="cs"/>
                <w:sz w:val="26"/>
                <w:szCs w:val="26"/>
                <w:rtl/>
              </w:rPr>
              <w:t>נשיא</w:t>
            </w:r>
            <w:r w:rsidRPr="00515985">
              <w:rPr>
                <w:rFonts w:cs="David"/>
                <w:sz w:val="26"/>
                <w:szCs w:val="26"/>
                <w:rtl/>
              </w:rPr>
              <w:t xml:space="preserve"> </w:t>
            </w:r>
            <w:r w:rsidRPr="00515985">
              <w:rPr>
                <w:rFonts w:cs="David" w:hint="cs"/>
                <w:sz w:val="26"/>
                <w:szCs w:val="26"/>
                <w:rtl/>
              </w:rPr>
              <w:t>המדינה</w:t>
            </w:r>
          </w:p>
        </w:tc>
        <w:tc>
          <w:tcPr>
            <w:tcW w:w="2268" w:type="dxa"/>
          </w:tcPr>
          <w:p w:rsidR="00251044" w:rsidRPr="00515985" w:rsidRDefault="00251044" w:rsidP="00EA3D6A">
            <w:pPr>
              <w:spacing w:before="0" w:line="360" w:lineRule="auto"/>
              <w:ind w:firstLine="0"/>
              <w:jc w:val="center"/>
              <w:rPr>
                <w:rFonts w:cs="David"/>
                <w:sz w:val="26"/>
                <w:szCs w:val="26"/>
              </w:rPr>
            </w:pPr>
          </w:p>
        </w:tc>
        <w:tc>
          <w:tcPr>
            <w:tcW w:w="2268" w:type="dxa"/>
          </w:tcPr>
          <w:p w:rsidR="00251044" w:rsidRPr="00515985" w:rsidRDefault="00251044" w:rsidP="00EA3D6A">
            <w:pPr>
              <w:spacing w:before="0" w:line="360" w:lineRule="auto"/>
              <w:ind w:firstLine="0"/>
              <w:jc w:val="center"/>
              <w:rPr>
                <w:rFonts w:cs="David"/>
                <w:sz w:val="26"/>
                <w:szCs w:val="26"/>
                <w:rtl/>
              </w:rPr>
            </w:pPr>
            <w:r w:rsidRPr="00515985">
              <w:rPr>
                <w:rFonts w:cs="David" w:hint="cs"/>
                <w:sz w:val="26"/>
                <w:szCs w:val="26"/>
                <w:rtl/>
              </w:rPr>
              <w:t>דליה</w:t>
            </w:r>
            <w:r w:rsidRPr="00515985">
              <w:rPr>
                <w:rFonts w:cs="David"/>
                <w:sz w:val="26"/>
                <w:szCs w:val="26"/>
                <w:rtl/>
              </w:rPr>
              <w:t xml:space="preserve"> </w:t>
            </w:r>
            <w:r w:rsidRPr="00515985">
              <w:rPr>
                <w:rFonts w:cs="David" w:hint="cs"/>
                <w:sz w:val="26"/>
                <w:szCs w:val="26"/>
                <w:rtl/>
              </w:rPr>
              <w:t>איציק</w:t>
            </w:r>
          </w:p>
          <w:p w:rsidR="00251044" w:rsidRPr="00515985" w:rsidRDefault="00251044" w:rsidP="00EA3D6A">
            <w:pPr>
              <w:spacing w:before="0" w:line="360" w:lineRule="auto"/>
              <w:ind w:firstLine="0"/>
              <w:jc w:val="center"/>
              <w:rPr>
                <w:rFonts w:cs="David"/>
                <w:sz w:val="26"/>
                <w:szCs w:val="26"/>
              </w:rPr>
            </w:pPr>
            <w:r w:rsidRPr="00515985">
              <w:rPr>
                <w:rFonts w:cs="David" w:hint="cs"/>
                <w:sz w:val="26"/>
                <w:szCs w:val="26"/>
                <w:rtl/>
              </w:rPr>
              <w:t>יושבת</w:t>
            </w:r>
            <w:r w:rsidRPr="00515985">
              <w:rPr>
                <w:rFonts w:cs="David"/>
                <w:sz w:val="26"/>
                <w:szCs w:val="26"/>
                <w:rtl/>
              </w:rPr>
              <w:t xml:space="preserve"> </w:t>
            </w:r>
            <w:r w:rsidRPr="00515985">
              <w:rPr>
                <w:rFonts w:cs="David" w:hint="cs"/>
                <w:sz w:val="26"/>
                <w:szCs w:val="26"/>
                <w:rtl/>
              </w:rPr>
              <w:t>ראש</w:t>
            </w:r>
            <w:r w:rsidRPr="00515985">
              <w:rPr>
                <w:rFonts w:cs="David"/>
                <w:sz w:val="26"/>
                <w:szCs w:val="26"/>
                <w:rtl/>
              </w:rPr>
              <w:t xml:space="preserve"> </w:t>
            </w:r>
            <w:r w:rsidRPr="00515985">
              <w:rPr>
                <w:rFonts w:cs="David" w:hint="cs"/>
                <w:sz w:val="26"/>
                <w:szCs w:val="26"/>
                <w:rtl/>
              </w:rPr>
              <w:t>הכנסת</w:t>
            </w:r>
          </w:p>
        </w:tc>
        <w:tc>
          <w:tcPr>
            <w:tcW w:w="2835" w:type="dxa"/>
          </w:tcPr>
          <w:p w:rsidR="00251044" w:rsidRPr="00515985" w:rsidRDefault="00251044" w:rsidP="00EA3D6A">
            <w:pPr>
              <w:spacing w:before="0" w:line="360" w:lineRule="auto"/>
              <w:ind w:firstLine="0"/>
              <w:jc w:val="center"/>
              <w:rPr>
                <w:rFonts w:cs="David"/>
                <w:sz w:val="26"/>
                <w:szCs w:val="26"/>
              </w:rPr>
            </w:pPr>
          </w:p>
        </w:tc>
      </w:tr>
    </w:tbl>
    <w:p w:rsidR="00251044" w:rsidRPr="00B416AF" w:rsidRDefault="00251044" w:rsidP="00251044">
      <w:pPr>
        <w:spacing w:before="0"/>
        <w:rPr>
          <w:rtl/>
        </w:rPr>
      </w:pPr>
    </w:p>
    <w:p w:rsidR="00A95E42" w:rsidRPr="00251044" w:rsidRDefault="00A95E42" w:rsidP="00251044"/>
    <w:sectPr w:rsidR="00A95E42" w:rsidRPr="00251044" w:rsidSect="00C2019F">
      <w:footerReference w:type="default" r:id="rId8"/>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F73" w:rsidRDefault="00FD6F73" w:rsidP="00E22E48">
      <w:pPr>
        <w:spacing w:before="0" w:line="240" w:lineRule="auto"/>
      </w:pPr>
      <w:r>
        <w:separator/>
      </w:r>
    </w:p>
  </w:endnote>
  <w:endnote w:type="continuationSeparator" w:id="0">
    <w:p w:rsidR="00FD6F73" w:rsidRDefault="00FD6F73" w:rsidP="00E22E4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Arial Unicode MS"/>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9F" w:rsidRDefault="00B06B7E">
    <w:pPr>
      <w:pStyle w:val="a6"/>
      <w:framePr w:wrap="auto" w:vAnchor="text" w:hAnchor="text" w:xAlign="center" w:y="1"/>
      <w:rPr>
        <w:rStyle w:val="a8"/>
        <w:rFonts w:cs="Hadasa Roso SL"/>
      </w:rPr>
    </w:pPr>
    <w:r>
      <w:rPr>
        <w:rStyle w:val="a8"/>
        <w:rFonts w:cs="Hadasa Roso SL"/>
      </w:rPr>
      <w:fldChar w:fldCharType="begin"/>
    </w:r>
    <w:r w:rsidR="00D94ACE">
      <w:rPr>
        <w:rStyle w:val="a8"/>
        <w:rFonts w:cs="Hadasa Roso SL"/>
      </w:rPr>
      <w:instrText xml:space="preserve">PAGE  </w:instrText>
    </w:r>
    <w:r>
      <w:rPr>
        <w:rStyle w:val="a8"/>
        <w:rFonts w:cs="Hadasa Roso SL"/>
      </w:rPr>
      <w:fldChar w:fldCharType="separate"/>
    </w:r>
    <w:r w:rsidR="00251044">
      <w:rPr>
        <w:rStyle w:val="a8"/>
        <w:noProof/>
        <w:rtl/>
      </w:rPr>
      <w:t>5</w:t>
    </w:r>
    <w:r>
      <w:rPr>
        <w:rStyle w:val="a8"/>
        <w:rFonts w:cs="Hadasa Roso SL"/>
      </w:rPr>
      <w:fldChar w:fldCharType="end"/>
    </w:r>
  </w:p>
  <w:p w:rsidR="00C2019F" w:rsidRDefault="00C2019F">
    <w:pPr>
      <w:pStyle w:val="a6"/>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F73" w:rsidRDefault="00FD6F73" w:rsidP="00E22E48">
      <w:pPr>
        <w:spacing w:before="0" w:line="240" w:lineRule="auto"/>
      </w:pPr>
      <w:r>
        <w:separator/>
      </w:r>
    </w:p>
  </w:footnote>
  <w:footnote w:type="continuationSeparator" w:id="0">
    <w:p w:rsidR="00FD6F73" w:rsidRDefault="00FD6F73" w:rsidP="00E22E48">
      <w:pPr>
        <w:spacing w:before="0" w:line="240" w:lineRule="auto"/>
      </w:pPr>
      <w:r>
        <w:continuationSeparator/>
      </w:r>
    </w:p>
  </w:footnote>
  <w:footnote w:id="1">
    <w:p w:rsidR="00251044" w:rsidRDefault="00251044" w:rsidP="00251044">
      <w:pPr>
        <w:pStyle w:val="a3"/>
      </w:pPr>
      <w:r w:rsidRPr="00910BA7">
        <w:rPr>
          <w:rStyle w:val="a5"/>
        </w:rPr>
        <w:t>*</w:t>
      </w:r>
      <w:r w:rsidRPr="00910BA7">
        <w:rPr>
          <w:rtl/>
        </w:rPr>
        <w:t xml:space="preserve"> התקבל בכנסת ביום כ"ו בתמוז </w:t>
      </w:r>
      <w:proofErr w:type="spellStart"/>
      <w:r w:rsidRPr="00910BA7">
        <w:rPr>
          <w:rtl/>
        </w:rPr>
        <w:t>התשס"ח</w:t>
      </w:r>
      <w:proofErr w:type="spellEnd"/>
      <w:r w:rsidRPr="00910BA7">
        <w:rPr>
          <w:rtl/>
        </w:rPr>
        <w:t xml:space="preserve"> (29 ביולי 2008); הצעת החוק ודברי הסבר פורסמו בהצעות חוק הכנסת –</w:t>
      </w:r>
      <w:r>
        <w:rPr>
          <w:rtl/>
        </w:rPr>
        <w:t xml:space="preserve"> 233, מיום כ"ג באייר </w:t>
      </w:r>
      <w:proofErr w:type="spellStart"/>
      <w:r>
        <w:rPr>
          <w:rtl/>
        </w:rPr>
        <w:t>התשס"ח</w:t>
      </w:r>
      <w:proofErr w:type="spellEnd"/>
      <w:r>
        <w:rPr>
          <w:rtl/>
        </w:rPr>
        <w:t xml:space="preserve"> (28 במאי 2008), </w:t>
      </w:r>
      <w:proofErr w:type="spellStart"/>
      <w:r>
        <w:rPr>
          <w:rtl/>
        </w:rPr>
        <w:t>עמ</w:t>
      </w:r>
      <w:proofErr w:type="spellEnd"/>
      <w:r>
        <w:rPr>
          <w:rtl/>
        </w:rPr>
        <w:t>' 323.</w:t>
      </w:r>
    </w:p>
  </w:footnote>
  <w:footnote w:id="2">
    <w:p w:rsidR="00251044" w:rsidRDefault="00251044" w:rsidP="00251044">
      <w:pPr>
        <w:pStyle w:val="a3"/>
      </w:pPr>
      <w:r>
        <w:rPr>
          <w:rStyle w:val="a5"/>
        </w:rPr>
        <w:footnoteRef/>
      </w:r>
      <w:r>
        <w:rPr>
          <w:rtl/>
        </w:rPr>
        <w:t xml:space="preserve"> </w:t>
      </w:r>
      <w:r>
        <w:rPr>
          <w:rtl/>
        </w:rPr>
        <w:t xml:space="preserve">ס"ח </w:t>
      </w:r>
      <w:proofErr w:type="spellStart"/>
      <w:r>
        <w:rPr>
          <w:rtl/>
        </w:rPr>
        <w:t>התשכ"ה</w:t>
      </w:r>
      <w:proofErr w:type="spellEnd"/>
      <w:r>
        <w:rPr>
          <w:rtl/>
        </w:rPr>
        <w:t xml:space="preserve">, </w:t>
      </w:r>
      <w:proofErr w:type="spellStart"/>
      <w:r>
        <w:rPr>
          <w:rtl/>
        </w:rPr>
        <w:t>עמ</w:t>
      </w:r>
      <w:proofErr w:type="spellEnd"/>
      <w:r>
        <w:rPr>
          <w:rtl/>
        </w:rPr>
        <w:t xml:space="preserve">' 307; </w:t>
      </w:r>
      <w:proofErr w:type="spellStart"/>
      <w:r>
        <w:rPr>
          <w:rtl/>
        </w:rPr>
        <w:t>התשס"ח</w:t>
      </w:r>
      <w:proofErr w:type="spellEnd"/>
      <w:r>
        <w:rPr>
          <w:rtl/>
        </w:rPr>
        <w:t xml:space="preserve">, </w:t>
      </w:r>
      <w:proofErr w:type="spellStart"/>
      <w:r>
        <w:rPr>
          <w:rtl/>
        </w:rPr>
        <w:t>עמ</w:t>
      </w:r>
      <w:proofErr w:type="spellEnd"/>
      <w:r>
        <w:rPr>
          <w:rtl/>
        </w:rPr>
        <w:t>' 632.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C3ADC"/>
    <w:multiLevelType w:val="hybridMultilevel"/>
    <w:tmpl w:val="3D6012BE"/>
    <w:lvl w:ilvl="0" w:tplc="74A08E14">
      <w:start w:val="1"/>
      <w:numFmt w:val="hebrew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E0A0ECA"/>
    <w:multiLevelType w:val="hybridMultilevel"/>
    <w:tmpl w:val="0F547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681727"/>
    <w:multiLevelType w:val="hybridMultilevel"/>
    <w:tmpl w:val="1F48901A"/>
    <w:lvl w:ilvl="0" w:tplc="738E8BC8">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F4A73F4"/>
    <w:multiLevelType w:val="hybridMultilevel"/>
    <w:tmpl w:val="203E7184"/>
    <w:lvl w:ilvl="0" w:tplc="EFA87FAA">
      <w:start w:val="2"/>
      <w:numFmt w:val="bullet"/>
      <w:lvlText w:val="-"/>
      <w:lvlJc w:val="left"/>
      <w:pPr>
        <w:tabs>
          <w:tab w:val="num" w:pos="1800"/>
        </w:tabs>
        <w:ind w:left="1800" w:hanging="360"/>
      </w:pPr>
      <w:rPr>
        <w:rFonts w:ascii="Times New Roman" w:eastAsia="Times New Roman" w:hAnsi="Times New Roman" w:cs="David"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2E48"/>
    <w:rsid w:val="00000B60"/>
    <w:rsid w:val="000027A0"/>
    <w:rsid w:val="00004623"/>
    <w:rsid w:val="00014752"/>
    <w:rsid w:val="0001534A"/>
    <w:rsid w:val="00020F87"/>
    <w:rsid w:val="00021826"/>
    <w:rsid w:val="00022217"/>
    <w:rsid w:val="00022742"/>
    <w:rsid w:val="00022F16"/>
    <w:rsid w:val="00024897"/>
    <w:rsid w:val="00033328"/>
    <w:rsid w:val="000333DC"/>
    <w:rsid w:val="00033C40"/>
    <w:rsid w:val="000355A9"/>
    <w:rsid w:val="00036690"/>
    <w:rsid w:val="000376B3"/>
    <w:rsid w:val="000407E6"/>
    <w:rsid w:val="000409B4"/>
    <w:rsid w:val="00042678"/>
    <w:rsid w:val="00044492"/>
    <w:rsid w:val="000463D5"/>
    <w:rsid w:val="00047431"/>
    <w:rsid w:val="00050476"/>
    <w:rsid w:val="00050550"/>
    <w:rsid w:val="00052C19"/>
    <w:rsid w:val="00052D59"/>
    <w:rsid w:val="00055D5D"/>
    <w:rsid w:val="00061F47"/>
    <w:rsid w:val="00062106"/>
    <w:rsid w:val="00062BE3"/>
    <w:rsid w:val="000630FC"/>
    <w:rsid w:val="0006526B"/>
    <w:rsid w:val="000666BF"/>
    <w:rsid w:val="000667D6"/>
    <w:rsid w:val="000742D3"/>
    <w:rsid w:val="000768B1"/>
    <w:rsid w:val="00076CB1"/>
    <w:rsid w:val="00076D6C"/>
    <w:rsid w:val="00077576"/>
    <w:rsid w:val="00083DBD"/>
    <w:rsid w:val="000840C7"/>
    <w:rsid w:val="00084D0A"/>
    <w:rsid w:val="00085244"/>
    <w:rsid w:val="000931BB"/>
    <w:rsid w:val="00094557"/>
    <w:rsid w:val="00094700"/>
    <w:rsid w:val="00094CCD"/>
    <w:rsid w:val="000951D0"/>
    <w:rsid w:val="000959EE"/>
    <w:rsid w:val="00096BE5"/>
    <w:rsid w:val="000978B5"/>
    <w:rsid w:val="000A3A7D"/>
    <w:rsid w:val="000A4C9F"/>
    <w:rsid w:val="000B0826"/>
    <w:rsid w:val="000B198F"/>
    <w:rsid w:val="000B1C70"/>
    <w:rsid w:val="000B4450"/>
    <w:rsid w:val="000B4E44"/>
    <w:rsid w:val="000B4ECA"/>
    <w:rsid w:val="000B592C"/>
    <w:rsid w:val="000C0D51"/>
    <w:rsid w:val="000C2E52"/>
    <w:rsid w:val="000C436B"/>
    <w:rsid w:val="000C49BB"/>
    <w:rsid w:val="000C4A2D"/>
    <w:rsid w:val="000C50A6"/>
    <w:rsid w:val="000C65F0"/>
    <w:rsid w:val="000D06E5"/>
    <w:rsid w:val="000D3CFA"/>
    <w:rsid w:val="000D3F0B"/>
    <w:rsid w:val="000D5CD0"/>
    <w:rsid w:val="000D7534"/>
    <w:rsid w:val="000E0DA3"/>
    <w:rsid w:val="000E1379"/>
    <w:rsid w:val="000E273C"/>
    <w:rsid w:val="000E2C79"/>
    <w:rsid w:val="000E2DA1"/>
    <w:rsid w:val="000E3113"/>
    <w:rsid w:val="000E4E6F"/>
    <w:rsid w:val="000E5646"/>
    <w:rsid w:val="000F1AA1"/>
    <w:rsid w:val="000F4282"/>
    <w:rsid w:val="000F4F81"/>
    <w:rsid w:val="000F6AC1"/>
    <w:rsid w:val="000F6DAF"/>
    <w:rsid w:val="000F7031"/>
    <w:rsid w:val="000F7884"/>
    <w:rsid w:val="00100328"/>
    <w:rsid w:val="001008CB"/>
    <w:rsid w:val="00100BB7"/>
    <w:rsid w:val="00101760"/>
    <w:rsid w:val="00102370"/>
    <w:rsid w:val="001042AC"/>
    <w:rsid w:val="00107F1D"/>
    <w:rsid w:val="00111733"/>
    <w:rsid w:val="00112760"/>
    <w:rsid w:val="00113555"/>
    <w:rsid w:val="001170E2"/>
    <w:rsid w:val="001172EA"/>
    <w:rsid w:val="00120D38"/>
    <w:rsid w:val="0012190F"/>
    <w:rsid w:val="00121B78"/>
    <w:rsid w:val="00121E3A"/>
    <w:rsid w:val="0012334C"/>
    <w:rsid w:val="001311E3"/>
    <w:rsid w:val="00131354"/>
    <w:rsid w:val="001320FE"/>
    <w:rsid w:val="00135344"/>
    <w:rsid w:val="0013769B"/>
    <w:rsid w:val="00140080"/>
    <w:rsid w:val="001401E1"/>
    <w:rsid w:val="001433B5"/>
    <w:rsid w:val="00147F7D"/>
    <w:rsid w:val="001506AF"/>
    <w:rsid w:val="0015230A"/>
    <w:rsid w:val="0015410A"/>
    <w:rsid w:val="0015609D"/>
    <w:rsid w:val="001642C1"/>
    <w:rsid w:val="00164A41"/>
    <w:rsid w:val="00164BC8"/>
    <w:rsid w:val="001663B6"/>
    <w:rsid w:val="00171718"/>
    <w:rsid w:val="0017204D"/>
    <w:rsid w:val="00173D01"/>
    <w:rsid w:val="00174BA8"/>
    <w:rsid w:val="00180C70"/>
    <w:rsid w:val="00180D4A"/>
    <w:rsid w:val="00184395"/>
    <w:rsid w:val="00186E44"/>
    <w:rsid w:val="0019096D"/>
    <w:rsid w:val="0019139B"/>
    <w:rsid w:val="001914DB"/>
    <w:rsid w:val="00191577"/>
    <w:rsid w:val="001919B8"/>
    <w:rsid w:val="00192D7B"/>
    <w:rsid w:val="00193096"/>
    <w:rsid w:val="00193823"/>
    <w:rsid w:val="00194027"/>
    <w:rsid w:val="00194E0C"/>
    <w:rsid w:val="001951D3"/>
    <w:rsid w:val="001959FE"/>
    <w:rsid w:val="00196AD0"/>
    <w:rsid w:val="001976C2"/>
    <w:rsid w:val="00197B07"/>
    <w:rsid w:val="00197EBF"/>
    <w:rsid w:val="001A1260"/>
    <w:rsid w:val="001A1AA1"/>
    <w:rsid w:val="001A2173"/>
    <w:rsid w:val="001A3C50"/>
    <w:rsid w:val="001A4057"/>
    <w:rsid w:val="001A44AE"/>
    <w:rsid w:val="001A4872"/>
    <w:rsid w:val="001A4FBE"/>
    <w:rsid w:val="001A69AC"/>
    <w:rsid w:val="001A70ED"/>
    <w:rsid w:val="001B1167"/>
    <w:rsid w:val="001B61D9"/>
    <w:rsid w:val="001B6663"/>
    <w:rsid w:val="001C48E5"/>
    <w:rsid w:val="001D097A"/>
    <w:rsid w:val="001D1525"/>
    <w:rsid w:val="001D3EE8"/>
    <w:rsid w:val="001D55C5"/>
    <w:rsid w:val="001D5F8C"/>
    <w:rsid w:val="001D6D6D"/>
    <w:rsid w:val="001D7C44"/>
    <w:rsid w:val="001E07C6"/>
    <w:rsid w:val="001E1102"/>
    <w:rsid w:val="001E3334"/>
    <w:rsid w:val="001E4FC6"/>
    <w:rsid w:val="001E713B"/>
    <w:rsid w:val="001E75FD"/>
    <w:rsid w:val="001E76B6"/>
    <w:rsid w:val="001F1331"/>
    <w:rsid w:val="001F1E69"/>
    <w:rsid w:val="001F5198"/>
    <w:rsid w:val="001F520D"/>
    <w:rsid w:val="001F772A"/>
    <w:rsid w:val="001F7763"/>
    <w:rsid w:val="001F7E3B"/>
    <w:rsid w:val="00202E23"/>
    <w:rsid w:val="0020408A"/>
    <w:rsid w:val="0020544F"/>
    <w:rsid w:val="00206835"/>
    <w:rsid w:val="00211C3A"/>
    <w:rsid w:val="00216DC4"/>
    <w:rsid w:val="002177E5"/>
    <w:rsid w:val="00221E19"/>
    <w:rsid w:val="0022235F"/>
    <w:rsid w:val="0022645B"/>
    <w:rsid w:val="00231B5A"/>
    <w:rsid w:val="00237C14"/>
    <w:rsid w:val="00237EBD"/>
    <w:rsid w:val="002438CA"/>
    <w:rsid w:val="00244506"/>
    <w:rsid w:val="00244E8A"/>
    <w:rsid w:val="002452BC"/>
    <w:rsid w:val="00245417"/>
    <w:rsid w:val="00251044"/>
    <w:rsid w:val="00251A12"/>
    <w:rsid w:val="00251BEB"/>
    <w:rsid w:val="00253E13"/>
    <w:rsid w:val="00254525"/>
    <w:rsid w:val="00255F34"/>
    <w:rsid w:val="00262017"/>
    <w:rsid w:val="00262628"/>
    <w:rsid w:val="002644B9"/>
    <w:rsid w:val="002647C2"/>
    <w:rsid w:val="002660F5"/>
    <w:rsid w:val="0026665F"/>
    <w:rsid w:val="00267A5A"/>
    <w:rsid w:val="0027207A"/>
    <w:rsid w:val="00274724"/>
    <w:rsid w:val="002753F2"/>
    <w:rsid w:val="00280D87"/>
    <w:rsid w:val="00281BE8"/>
    <w:rsid w:val="00282FB3"/>
    <w:rsid w:val="00286E26"/>
    <w:rsid w:val="00287FEB"/>
    <w:rsid w:val="00290AB7"/>
    <w:rsid w:val="00291C8F"/>
    <w:rsid w:val="00291D6D"/>
    <w:rsid w:val="00291FB3"/>
    <w:rsid w:val="00292203"/>
    <w:rsid w:val="00292F48"/>
    <w:rsid w:val="00294C23"/>
    <w:rsid w:val="00295684"/>
    <w:rsid w:val="002A0973"/>
    <w:rsid w:val="002A2575"/>
    <w:rsid w:val="002A25F4"/>
    <w:rsid w:val="002A33C2"/>
    <w:rsid w:val="002A5EC0"/>
    <w:rsid w:val="002A6110"/>
    <w:rsid w:val="002A7A62"/>
    <w:rsid w:val="002B01C7"/>
    <w:rsid w:val="002B4EE7"/>
    <w:rsid w:val="002B70BC"/>
    <w:rsid w:val="002C28BB"/>
    <w:rsid w:val="002C6971"/>
    <w:rsid w:val="002C6B00"/>
    <w:rsid w:val="002D217A"/>
    <w:rsid w:val="002D36D7"/>
    <w:rsid w:val="002D3BB4"/>
    <w:rsid w:val="002D6ECA"/>
    <w:rsid w:val="002D787C"/>
    <w:rsid w:val="002D7CA5"/>
    <w:rsid w:val="002E1210"/>
    <w:rsid w:val="002E2EA0"/>
    <w:rsid w:val="002E66B9"/>
    <w:rsid w:val="002E7CF1"/>
    <w:rsid w:val="002F2449"/>
    <w:rsid w:val="002F3583"/>
    <w:rsid w:val="002F6F50"/>
    <w:rsid w:val="003003C3"/>
    <w:rsid w:val="00301365"/>
    <w:rsid w:val="003018CE"/>
    <w:rsid w:val="00305BDC"/>
    <w:rsid w:val="003071D9"/>
    <w:rsid w:val="003076A0"/>
    <w:rsid w:val="0031177B"/>
    <w:rsid w:val="0031186A"/>
    <w:rsid w:val="0031327B"/>
    <w:rsid w:val="003144DA"/>
    <w:rsid w:val="0031756F"/>
    <w:rsid w:val="0031799B"/>
    <w:rsid w:val="00320A9E"/>
    <w:rsid w:val="00320B9D"/>
    <w:rsid w:val="0032118B"/>
    <w:rsid w:val="00322613"/>
    <w:rsid w:val="00323A5B"/>
    <w:rsid w:val="00324E27"/>
    <w:rsid w:val="003272E0"/>
    <w:rsid w:val="003275B3"/>
    <w:rsid w:val="00330351"/>
    <w:rsid w:val="0033318B"/>
    <w:rsid w:val="00336B65"/>
    <w:rsid w:val="00344311"/>
    <w:rsid w:val="003457D7"/>
    <w:rsid w:val="00345A39"/>
    <w:rsid w:val="00345B8C"/>
    <w:rsid w:val="0035050A"/>
    <w:rsid w:val="003521DB"/>
    <w:rsid w:val="00353D99"/>
    <w:rsid w:val="00353F90"/>
    <w:rsid w:val="003606A0"/>
    <w:rsid w:val="0036148E"/>
    <w:rsid w:val="00362289"/>
    <w:rsid w:val="003644C5"/>
    <w:rsid w:val="0037034C"/>
    <w:rsid w:val="00370863"/>
    <w:rsid w:val="00372D9B"/>
    <w:rsid w:val="00373140"/>
    <w:rsid w:val="003744FF"/>
    <w:rsid w:val="003761CE"/>
    <w:rsid w:val="00376F01"/>
    <w:rsid w:val="003803AE"/>
    <w:rsid w:val="003811CF"/>
    <w:rsid w:val="00381BAB"/>
    <w:rsid w:val="0038302A"/>
    <w:rsid w:val="003856B9"/>
    <w:rsid w:val="00387C18"/>
    <w:rsid w:val="00390DE8"/>
    <w:rsid w:val="003918F5"/>
    <w:rsid w:val="00392D36"/>
    <w:rsid w:val="00394453"/>
    <w:rsid w:val="00396CC1"/>
    <w:rsid w:val="003A2926"/>
    <w:rsid w:val="003A35E2"/>
    <w:rsid w:val="003A5EC8"/>
    <w:rsid w:val="003A6280"/>
    <w:rsid w:val="003A668A"/>
    <w:rsid w:val="003B1BBB"/>
    <w:rsid w:val="003B2592"/>
    <w:rsid w:val="003B2A3B"/>
    <w:rsid w:val="003B4AAC"/>
    <w:rsid w:val="003B5198"/>
    <w:rsid w:val="003B69A6"/>
    <w:rsid w:val="003B6C7C"/>
    <w:rsid w:val="003C0054"/>
    <w:rsid w:val="003C2CDE"/>
    <w:rsid w:val="003C425C"/>
    <w:rsid w:val="003C5614"/>
    <w:rsid w:val="003C5CED"/>
    <w:rsid w:val="003D7438"/>
    <w:rsid w:val="003D7CDD"/>
    <w:rsid w:val="003E01DC"/>
    <w:rsid w:val="003E07E8"/>
    <w:rsid w:val="003E1858"/>
    <w:rsid w:val="003E41C7"/>
    <w:rsid w:val="003E72EB"/>
    <w:rsid w:val="003F1553"/>
    <w:rsid w:val="00402341"/>
    <w:rsid w:val="0040634C"/>
    <w:rsid w:val="00406B97"/>
    <w:rsid w:val="0040729A"/>
    <w:rsid w:val="0040794B"/>
    <w:rsid w:val="00410755"/>
    <w:rsid w:val="00410D40"/>
    <w:rsid w:val="00410E09"/>
    <w:rsid w:val="00411121"/>
    <w:rsid w:val="004117B2"/>
    <w:rsid w:val="00414656"/>
    <w:rsid w:val="00414996"/>
    <w:rsid w:val="00422154"/>
    <w:rsid w:val="00423905"/>
    <w:rsid w:val="00423EE9"/>
    <w:rsid w:val="00424451"/>
    <w:rsid w:val="0042576B"/>
    <w:rsid w:val="00425CC9"/>
    <w:rsid w:val="00431761"/>
    <w:rsid w:val="00431C20"/>
    <w:rsid w:val="004353CD"/>
    <w:rsid w:val="00436489"/>
    <w:rsid w:val="00436C72"/>
    <w:rsid w:val="00437AC3"/>
    <w:rsid w:val="004403FA"/>
    <w:rsid w:val="00443954"/>
    <w:rsid w:val="00443DF9"/>
    <w:rsid w:val="00445DCE"/>
    <w:rsid w:val="004464FC"/>
    <w:rsid w:val="00452CB6"/>
    <w:rsid w:val="00457977"/>
    <w:rsid w:val="00460197"/>
    <w:rsid w:val="0046063C"/>
    <w:rsid w:val="00463ABF"/>
    <w:rsid w:val="00463B12"/>
    <w:rsid w:val="00465A7C"/>
    <w:rsid w:val="00466B32"/>
    <w:rsid w:val="00467520"/>
    <w:rsid w:val="00467944"/>
    <w:rsid w:val="00467A3E"/>
    <w:rsid w:val="00467B30"/>
    <w:rsid w:val="00470F6D"/>
    <w:rsid w:val="00471CC1"/>
    <w:rsid w:val="004766A3"/>
    <w:rsid w:val="0048448C"/>
    <w:rsid w:val="00486826"/>
    <w:rsid w:val="00486EB1"/>
    <w:rsid w:val="00487F34"/>
    <w:rsid w:val="0049093C"/>
    <w:rsid w:val="00492519"/>
    <w:rsid w:val="00492BF2"/>
    <w:rsid w:val="00493BAE"/>
    <w:rsid w:val="00494155"/>
    <w:rsid w:val="004966DC"/>
    <w:rsid w:val="00497F67"/>
    <w:rsid w:val="004A0873"/>
    <w:rsid w:val="004A13A4"/>
    <w:rsid w:val="004A1807"/>
    <w:rsid w:val="004A29E2"/>
    <w:rsid w:val="004A2FE2"/>
    <w:rsid w:val="004A5381"/>
    <w:rsid w:val="004B0424"/>
    <w:rsid w:val="004B259C"/>
    <w:rsid w:val="004B4850"/>
    <w:rsid w:val="004B516A"/>
    <w:rsid w:val="004B5A43"/>
    <w:rsid w:val="004B6294"/>
    <w:rsid w:val="004B6673"/>
    <w:rsid w:val="004B6D2E"/>
    <w:rsid w:val="004C337D"/>
    <w:rsid w:val="004C4919"/>
    <w:rsid w:val="004C55FA"/>
    <w:rsid w:val="004C6E98"/>
    <w:rsid w:val="004D6172"/>
    <w:rsid w:val="004D70F2"/>
    <w:rsid w:val="004E0673"/>
    <w:rsid w:val="004E17AC"/>
    <w:rsid w:val="004E230E"/>
    <w:rsid w:val="004E2E34"/>
    <w:rsid w:val="004E51B1"/>
    <w:rsid w:val="004F1564"/>
    <w:rsid w:val="004F249B"/>
    <w:rsid w:val="004F571F"/>
    <w:rsid w:val="004F683D"/>
    <w:rsid w:val="004F7352"/>
    <w:rsid w:val="005005D2"/>
    <w:rsid w:val="005006DE"/>
    <w:rsid w:val="00502105"/>
    <w:rsid w:val="0050277A"/>
    <w:rsid w:val="00503204"/>
    <w:rsid w:val="00504D89"/>
    <w:rsid w:val="0050622B"/>
    <w:rsid w:val="00507004"/>
    <w:rsid w:val="00510AD5"/>
    <w:rsid w:val="00510E00"/>
    <w:rsid w:val="005124E2"/>
    <w:rsid w:val="00513A3E"/>
    <w:rsid w:val="00513BDB"/>
    <w:rsid w:val="00514938"/>
    <w:rsid w:val="00517747"/>
    <w:rsid w:val="0052085C"/>
    <w:rsid w:val="00520F0C"/>
    <w:rsid w:val="0052627C"/>
    <w:rsid w:val="0053054B"/>
    <w:rsid w:val="00531BE3"/>
    <w:rsid w:val="00534ACC"/>
    <w:rsid w:val="00534EED"/>
    <w:rsid w:val="00535473"/>
    <w:rsid w:val="00537512"/>
    <w:rsid w:val="0053772A"/>
    <w:rsid w:val="00540156"/>
    <w:rsid w:val="0054168E"/>
    <w:rsid w:val="00541E20"/>
    <w:rsid w:val="0054469E"/>
    <w:rsid w:val="0054540E"/>
    <w:rsid w:val="00546FC1"/>
    <w:rsid w:val="005478B4"/>
    <w:rsid w:val="00547B45"/>
    <w:rsid w:val="00550D27"/>
    <w:rsid w:val="00551177"/>
    <w:rsid w:val="005532CF"/>
    <w:rsid w:val="00555357"/>
    <w:rsid w:val="005577C1"/>
    <w:rsid w:val="00557ADF"/>
    <w:rsid w:val="0056446F"/>
    <w:rsid w:val="00564EFD"/>
    <w:rsid w:val="005709BA"/>
    <w:rsid w:val="00577D9B"/>
    <w:rsid w:val="00581046"/>
    <w:rsid w:val="00582535"/>
    <w:rsid w:val="00582A0F"/>
    <w:rsid w:val="005832C7"/>
    <w:rsid w:val="0058397E"/>
    <w:rsid w:val="00584584"/>
    <w:rsid w:val="00584A20"/>
    <w:rsid w:val="00586B65"/>
    <w:rsid w:val="00590333"/>
    <w:rsid w:val="005911AA"/>
    <w:rsid w:val="0059198C"/>
    <w:rsid w:val="0059352F"/>
    <w:rsid w:val="005940E2"/>
    <w:rsid w:val="00595625"/>
    <w:rsid w:val="00595BE7"/>
    <w:rsid w:val="00595E10"/>
    <w:rsid w:val="00596BD4"/>
    <w:rsid w:val="005A177C"/>
    <w:rsid w:val="005A3715"/>
    <w:rsid w:val="005A5DD6"/>
    <w:rsid w:val="005A60D2"/>
    <w:rsid w:val="005A6200"/>
    <w:rsid w:val="005B03CF"/>
    <w:rsid w:val="005B0DE1"/>
    <w:rsid w:val="005B1D42"/>
    <w:rsid w:val="005B4F67"/>
    <w:rsid w:val="005B7536"/>
    <w:rsid w:val="005B77F1"/>
    <w:rsid w:val="005B7C1E"/>
    <w:rsid w:val="005C5B06"/>
    <w:rsid w:val="005C5B7A"/>
    <w:rsid w:val="005D02C6"/>
    <w:rsid w:val="005D155A"/>
    <w:rsid w:val="005D44AC"/>
    <w:rsid w:val="005D6FC6"/>
    <w:rsid w:val="005D7A86"/>
    <w:rsid w:val="005E15F7"/>
    <w:rsid w:val="005E2986"/>
    <w:rsid w:val="005E3BDC"/>
    <w:rsid w:val="005E3CD0"/>
    <w:rsid w:val="005E46B9"/>
    <w:rsid w:val="005E518B"/>
    <w:rsid w:val="005E62CF"/>
    <w:rsid w:val="005E67E7"/>
    <w:rsid w:val="005F51BB"/>
    <w:rsid w:val="00600CA3"/>
    <w:rsid w:val="0060296B"/>
    <w:rsid w:val="006030C5"/>
    <w:rsid w:val="00611C76"/>
    <w:rsid w:val="00616FDB"/>
    <w:rsid w:val="00617234"/>
    <w:rsid w:val="006231E4"/>
    <w:rsid w:val="0062328E"/>
    <w:rsid w:val="00623333"/>
    <w:rsid w:val="0062399E"/>
    <w:rsid w:val="00627474"/>
    <w:rsid w:val="00627900"/>
    <w:rsid w:val="00631E66"/>
    <w:rsid w:val="006323C0"/>
    <w:rsid w:val="00632444"/>
    <w:rsid w:val="0063264B"/>
    <w:rsid w:val="00632DB8"/>
    <w:rsid w:val="00633C88"/>
    <w:rsid w:val="00636CD0"/>
    <w:rsid w:val="00640932"/>
    <w:rsid w:val="006418E2"/>
    <w:rsid w:val="00643431"/>
    <w:rsid w:val="00645138"/>
    <w:rsid w:val="00647A7D"/>
    <w:rsid w:val="00650108"/>
    <w:rsid w:val="006504DA"/>
    <w:rsid w:val="00650F04"/>
    <w:rsid w:val="00650F7B"/>
    <w:rsid w:val="00654934"/>
    <w:rsid w:val="00655520"/>
    <w:rsid w:val="0066230C"/>
    <w:rsid w:val="00664A8D"/>
    <w:rsid w:val="00666EEB"/>
    <w:rsid w:val="006672EC"/>
    <w:rsid w:val="00667A30"/>
    <w:rsid w:val="00673D33"/>
    <w:rsid w:val="0068024E"/>
    <w:rsid w:val="0068098C"/>
    <w:rsid w:val="00681410"/>
    <w:rsid w:val="00681685"/>
    <w:rsid w:val="0068540D"/>
    <w:rsid w:val="00686252"/>
    <w:rsid w:val="00686F83"/>
    <w:rsid w:val="006904E4"/>
    <w:rsid w:val="00690C1B"/>
    <w:rsid w:val="00691394"/>
    <w:rsid w:val="00691E67"/>
    <w:rsid w:val="00693E23"/>
    <w:rsid w:val="006955FB"/>
    <w:rsid w:val="0069656D"/>
    <w:rsid w:val="0069660A"/>
    <w:rsid w:val="00696FA6"/>
    <w:rsid w:val="006A0066"/>
    <w:rsid w:val="006A07D0"/>
    <w:rsid w:val="006A0F86"/>
    <w:rsid w:val="006A14B1"/>
    <w:rsid w:val="006A14C6"/>
    <w:rsid w:val="006A6EB3"/>
    <w:rsid w:val="006A7C5A"/>
    <w:rsid w:val="006B1166"/>
    <w:rsid w:val="006B1B49"/>
    <w:rsid w:val="006B708B"/>
    <w:rsid w:val="006B7288"/>
    <w:rsid w:val="006B795B"/>
    <w:rsid w:val="006C02AC"/>
    <w:rsid w:val="006D005B"/>
    <w:rsid w:val="006D0569"/>
    <w:rsid w:val="006E0DB6"/>
    <w:rsid w:val="006E0E54"/>
    <w:rsid w:val="006E2C9C"/>
    <w:rsid w:val="006E3170"/>
    <w:rsid w:val="006E32C7"/>
    <w:rsid w:val="006E3443"/>
    <w:rsid w:val="006E7698"/>
    <w:rsid w:val="006F0350"/>
    <w:rsid w:val="006F244D"/>
    <w:rsid w:val="006F269A"/>
    <w:rsid w:val="006F2AB7"/>
    <w:rsid w:val="006F3294"/>
    <w:rsid w:val="006F3BF2"/>
    <w:rsid w:val="006F4DB5"/>
    <w:rsid w:val="006F68AE"/>
    <w:rsid w:val="007007C2"/>
    <w:rsid w:val="00700832"/>
    <w:rsid w:val="00702A7E"/>
    <w:rsid w:val="007039E0"/>
    <w:rsid w:val="00704123"/>
    <w:rsid w:val="007052F7"/>
    <w:rsid w:val="007064FE"/>
    <w:rsid w:val="00706C05"/>
    <w:rsid w:val="007129E4"/>
    <w:rsid w:val="00713AF8"/>
    <w:rsid w:val="007140FE"/>
    <w:rsid w:val="00715371"/>
    <w:rsid w:val="00716DE5"/>
    <w:rsid w:val="00723537"/>
    <w:rsid w:val="00724525"/>
    <w:rsid w:val="007253F8"/>
    <w:rsid w:val="00726FC4"/>
    <w:rsid w:val="00733019"/>
    <w:rsid w:val="007344D0"/>
    <w:rsid w:val="00734BF1"/>
    <w:rsid w:val="007364A8"/>
    <w:rsid w:val="0074137C"/>
    <w:rsid w:val="00746078"/>
    <w:rsid w:val="007519E3"/>
    <w:rsid w:val="0075597A"/>
    <w:rsid w:val="007567CB"/>
    <w:rsid w:val="00760DDD"/>
    <w:rsid w:val="0076159E"/>
    <w:rsid w:val="00762198"/>
    <w:rsid w:val="00763309"/>
    <w:rsid w:val="00763516"/>
    <w:rsid w:val="0076390A"/>
    <w:rsid w:val="0077122E"/>
    <w:rsid w:val="0077406A"/>
    <w:rsid w:val="00775DE5"/>
    <w:rsid w:val="007807D9"/>
    <w:rsid w:val="007865A8"/>
    <w:rsid w:val="0078677A"/>
    <w:rsid w:val="00792DC6"/>
    <w:rsid w:val="00793CAC"/>
    <w:rsid w:val="00794E4A"/>
    <w:rsid w:val="00796829"/>
    <w:rsid w:val="00796FF6"/>
    <w:rsid w:val="0079768C"/>
    <w:rsid w:val="007A0E38"/>
    <w:rsid w:val="007A164A"/>
    <w:rsid w:val="007A1F92"/>
    <w:rsid w:val="007A3581"/>
    <w:rsid w:val="007A4E1E"/>
    <w:rsid w:val="007A57CF"/>
    <w:rsid w:val="007A799F"/>
    <w:rsid w:val="007B2FF3"/>
    <w:rsid w:val="007B3292"/>
    <w:rsid w:val="007B503F"/>
    <w:rsid w:val="007B52D4"/>
    <w:rsid w:val="007B5DFC"/>
    <w:rsid w:val="007B671A"/>
    <w:rsid w:val="007B6CE3"/>
    <w:rsid w:val="007B7CF5"/>
    <w:rsid w:val="007C21C9"/>
    <w:rsid w:val="007C5B2E"/>
    <w:rsid w:val="007C62DB"/>
    <w:rsid w:val="007D01D9"/>
    <w:rsid w:val="007D2882"/>
    <w:rsid w:val="007D33FE"/>
    <w:rsid w:val="007D3D62"/>
    <w:rsid w:val="007D3F4C"/>
    <w:rsid w:val="007D3F62"/>
    <w:rsid w:val="007D4604"/>
    <w:rsid w:val="007D5489"/>
    <w:rsid w:val="007D72FF"/>
    <w:rsid w:val="007D7608"/>
    <w:rsid w:val="007E08E0"/>
    <w:rsid w:val="007E25D3"/>
    <w:rsid w:val="007E2DE6"/>
    <w:rsid w:val="007E54BA"/>
    <w:rsid w:val="007E740C"/>
    <w:rsid w:val="007E7B52"/>
    <w:rsid w:val="007F17CE"/>
    <w:rsid w:val="007F196D"/>
    <w:rsid w:val="007F3AB2"/>
    <w:rsid w:val="007F3E14"/>
    <w:rsid w:val="007F4FCC"/>
    <w:rsid w:val="007F6824"/>
    <w:rsid w:val="007F72A8"/>
    <w:rsid w:val="007F7F2C"/>
    <w:rsid w:val="008015C5"/>
    <w:rsid w:val="00803E3D"/>
    <w:rsid w:val="00804AAA"/>
    <w:rsid w:val="00805349"/>
    <w:rsid w:val="008054BA"/>
    <w:rsid w:val="00806923"/>
    <w:rsid w:val="00806950"/>
    <w:rsid w:val="0080753A"/>
    <w:rsid w:val="0081171A"/>
    <w:rsid w:val="008124E7"/>
    <w:rsid w:val="00812F73"/>
    <w:rsid w:val="00814B6E"/>
    <w:rsid w:val="008153C3"/>
    <w:rsid w:val="008164AA"/>
    <w:rsid w:val="00817DBB"/>
    <w:rsid w:val="00821F0D"/>
    <w:rsid w:val="00823C18"/>
    <w:rsid w:val="00827FCF"/>
    <w:rsid w:val="008308FE"/>
    <w:rsid w:val="00833EAE"/>
    <w:rsid w:val="008356E5"/>
    <w:rsid w:val="00836841"/>
    <w:rsid w:val="00836D8A"/>
    <w:rsid w:val="00837688"/>
    <w:rsid w:val="00837A30"/>
    <w:rsid w:val="00837E25"/>
    <w:rsid w:val="00840347"/>
    <w:rsid w:val="00842566"/>
    <w:rsid w:val="00844421"/>
    <w:rsid w:val="00844BA8"/>
    <w:rsid w:val="00845A0C"/>
    <w:rsid w:val="008469A1"/>
    <w:rsid w:val="0084721D"/>
    <w:rsid w:val="00847A92"/>
    <w:rsid w:val="00853C7B"/>
    <w:rsid w:val="0085443E"/>
    <w:rsid w:val="008555AD"/>
    <w:rsid w:val="00861901"/>
    <w:rsid w:val="00864E40"/>
    <w:rsid w:val="008678D8"/>
    <w:rsid w:val="00867AE4"/>
    <w:rsid w:val="008715AC"/>
    <w:rsid w:val="00871703"/>
    <w:rsid w:val="00876AAC"/>
    <w:rsid w:val="0088161E"/>
    <w:rsid w:val="008820B5"/>
    <w:rsid w:val="0088225E"/>
    <w:rsid w:val="00882932"/>
    <w:rsid w:val="0088340C"/>
    <w:rsid w:val="00884B09"/>
    <w:rsid w:val="00887AC1"/>
    <w:rsid w:val="00893B03"/>
    <w:rsid w:val="00894157"/>
    <w:rsid w:val="00894671"/>
    <w:rsid w:val="00894D4C"/>
    <w:rsid w:val="008953D6"/>
    <w:rsid w:val="00897F5A"/>
    <w:rsid w:val="008A4B6B"/>
    <w:rsid w:val="008A5C1F"/>
    <w:rsid w:val="008B0264"/>
    <w:rsid w:val="008B07B1"/>
    <w:rsid w:val="008B0E20"/>
    <w:rsid w:val="008B1E54"/>
    <w:rsid w:val="008B2265"/>
    <w:rsid w:val="008B2319"/>
    <w:rsid w:val="008B2CC6"/>
    <w:rsid w:val="008B30AC"/>
    <w:rsid w:val="008B375A"/>
    <w:rsid w:val="008B7053"/>
    <w:rsid w:val="008B70B9"/>
    <w:rsid w:val="008C6A71"/>
    <w:rsid w:val="008D0B30"/>
    <w:rsid w:val="008D3633"/>
    <w:rsid w:val="008D3CC8"/>
    <w:rsid w:val="008D53DD"/>
    <w:rsid w:val="008D5703"/>
    <w:rsid w:val="008D6E4E"/>
    <w:rsid w:val="008D76C1"/>
    <w:rsid w:val="008D79D3"/>
    <w:rsid w:val="008E0B03"/>
    <w:rsid w:val="008E1580"/>
    <w:rsid w:val="008E2F3D"/>
    <w:rsid w:val="008E3ABD"/>
    <w:rsid w:val="008E44FC"/>
    <w:rsid w:val="008E67E6"/>
    <w:rsid w:val="008E7DF5"/>
    <w:rsid w:val="008F1595"/>
    <w:rsid w:val="008F165B"/>
    <w:rsid w:val="008F50D9"/>
    <w:rsid w:val="008F6671"/>
    <w:rsid w:val="00901D7F"/>
    <w:rsid w:val="009033ED"/>
    <w:rsid w:val="00904755"/>
    <w:rsid w:val="00904AEB"/>
    <w:rsid w:val="00906FD7"/>
    <w:rsid w:val="00910586"/>
    <w:rsid w:val="0091072D"/>
    <w:rsid w:val="00914523"/>
    <w:rsid w:val="00920044"/>
    <w:rsid w:val="00920603"/>
    <w:rsid w:val="009217A4"/>
    <w:rsid w:val="00923A43"/>
    <w:rsid w:val="00926B2C"/>
    <w:rsid w:val="00926DC6"/>
    <w:rsid w:val="00927B59"/>
    <w:rsid w:val="00931359"/>
    <w:rsid w:val="0093252C"/>
    <w:rsid w:val="00932DCB"/>
    <w:rsid w:val="009351D3"/>
    <w:rsid w:val="00940A66"/>
    <w:rsid w:val="00945AEC"/>
    <w:rsid w:val="00945C3F"/>
    <w:rsid w:val="0094644C"/>
    <w:rsid w:val="00955D6A"/>
    <w:rsid w:val="00955EC6"/>
    <w:rsid w:val="00956D36"/>
    <w:rsid w:val="009612B5"/>
    <w:rsid w:val="00961AD1"/>
    <w:rsid w:val="009623D5"/>
    <w:rsid w:val="00962EDA"/>
    <w:rsid w:val="00963044"/>
    <w:rsid w:val="00963882"/>
    <w:rsid w:val="00965CF2"/>
    <w:rsid w:val="00965EA4"/>
    <w:rsid w:val="00965F3B"/>
    <w:rsid w:val="00966005"/>
    <w:rsid w:val="00966920"/>
    <w:rsid w:val="009669C0"/>
    <w:rsid w:val="00970BDD"/>
    <w:rsid w:val="00970FDF"/>
    <w:rsid w:val="00971356"/>
    <w:rsid w:val="00971F71"/>
    <w:rsid w:val="009759CA"/>
    <w:rsid w:val="00976159"/>
    <w:rsid w:val="00976356"/>
    <w:rsid w:val="009765F0"/>
    <w:rsid w:val="00976752"/>
    <w:rsid w:val="00976D7D"/>
    <w:rsid w:val="009771C3"/>
    <w:rsid w:val="0097792B"/>
    <w:rsid w:val="00981EDB"/>
    <w:rsid w:val="00983C7B"/>
    <w:rsid w:val="009871E0"/>
    <w:rsid w:val="0099116C"/>
    <w:rsid w:val="00994D78"/>
    <w:rsid w:val="0099627C"/>
    <w:rsid w:val="00997442"/>
    <w:rsid w:val="00997768"/>
    <w:rsid w:val="009A0B68"/>
    <w:rsid w:val="009A0E6D"/>
    <w:rsid w:val="009A2D29"/>
    <w:rsid w:val="009A50EF"/>
    <w:rsid w:val="009A79F4"/>
    <w:rsid w:val="009B3021"/>
    <w:rsid w:val="009B3724"/>
    <w:rsid w:val="009B44AA"/>
    <w:rsid w:val="009C1A87"/>
    <w:rsid w:val="009C2E67"/>
    <w:rsid w:val="009C3053"/>
    <w:rsid w:val="009C58F0"/>
    <w:rsid w:val="009C637D"/>
    <w:rsid w:val="009C6469"/>
    <w:rsid w:val="009D026E"/>
    <w:rsid w:val="009D45AC"/>
    <w:rsid w:val="009D5206"/>
    <w:rsid w:val="009D6755"/>
    <w:rsid w:val="009D726C"/>
    <w:rsid w:val="009D7BD5"/>
    <w:rsid w:val="009E1C3C"/>
    <w:rsid w:val="009E2018"/>
    <w:rsid w:val="009E2D6C"/>
    <w:rsid w:val="009E6833"/>
    <w:rsid w:val="009F070D"/>
    <w:rsid w:val="009F165D"/>
    <w:rsid w:val="009F16B0"/>
    <w:rsid w:val="009F3C21"/>
    <w:rsid w:val="009F3D68"/>
    <w:rsid w:val="009F3F06"/>
    <w:rsid w:val="009F4996"/>
    <w:rsid w:val="009F5AC9"/>
    <w:rsid w:val="009F5ED1"/>
    <w:rsid w:val="009F72E3"/>
    <w:rsid w:val="00A00BA4"/>
    <w:rsid w:val="00A02611"/>
    <w:rsid w:val="00A02DA3"/>
    <w:rsid w:val="00A0379E"/>
    <w:rsid w:val="00A04212"/>
    <w:rsid w:val="00A07DB5"/>
    <w:rsid w:val="00A10084"/>
    <w:rsid w:val="00A11290"/>
    <w:rsid w:val="00A11CED"/>
    <w:rsid w:val="00A11F11"/>
    <w:rsid w:val="00A14327"/>
    <w:rsid w:val="00A20F39"/>
    <w:rsid w:val="00A21127"/>
    <w:rsid w:val="00A2248F"/>
    <w:rsid w:val="00A23FA3"/>
    <w:rsid w:val="00A24E95"/>
    <w:rsid w:val="00A24EF2"/>
    <w:rsid w:val="00A25E51"/>
    <w:rsid w:val="00A26EFD"/>
    <w:rsid w:val="00A3226C"/>
    <w:rsid w:val="00A32BDB"/>
    <w:rsid w:val="00A407B4"/>
    <w:rsid w:val="00A45B79"/>
    <w:rsid w:val="00A473C4"/>
    <w:rsid w:val="00A47669"/>
    <w:rsid w:val="00A500E0"/>
    <w:rsid w:val="00A5134C"/>
    <w:rsid w:val="00A54159"/>
    <w:rsid w:val="00A547C9"/>
    <w:rsid w:val="00A566C9"/>
    <w:rsid w:val="00A6139F"/>
    <w:rsid w:val="00A61B8E"/>
    <w:rsid w:val="00A63373"/>
    <w:rsid w:val="00A636BD"/>
    <w:rsid w:val="00A637A1"/>
    <w:rsid w:val="00A658DE"/>
    <w:rsid w:val="00A71811"/>
    <w:rsid w:val="00A72C3F"/>
    <w:rsid w:val="00A73054"/>
    <w:rsid w:val="00A734BB"/>
    <w:rsid w:val="00A750B9"/>
    <w:rsid w:val="00A758E4"/>
    <w:rsid w:val="00A83037"/>
    <w:rsid w:val="00A834CB"/>
    <w:rsid w:val="00A86D21"/>
    <w:rsid w:val="00A901EB"/>
    <w:rsid w:val="00A90ACC"/>
    <w:rsid w:val="00A90B0F"/>
    <w:rsid w:val="00A91D7E"/>
    <w:rsid w:val="00A95E42"/>
    <w:rsid w:val="00A97CA1"/>
    <w:rsid w:val="00A97D27"/>
    <w:rsid w:val="00AA24EF"/>
    <w:rsid w:val="00AA5940"/>
    <w:rsid w:val="00AA5E45"/>
    <w:rsid w:val="00AA6259"/>
    <w:rsid w:val="00AB0627"/>
    <w:rsid w:val="00AB15BA"/>
    <w:rsid w:val="00AB2643"/>
    <w:rsid w:val="00AC014F"/>
    <w:rsid w:val="00AC17C2"/>
    <w:rsid w:val="00AC3C19"/>
    <w:rsid w:val="00AC75CE"/>
    <w:rsid w:val="00AD2185"/>
    <w:rsid w:val="00AD47B8"/>
    <w:rsid w:val="00AD6621"/>
    <w:rsid w:val="00AD7D99"/>
    <w:rsid w:val="00AE7824"/>
    <w:rsid w:val="00AF0F13"/>
    <w:rsid w:val="00AF489E"/>
    <w:rsid w:val="00AF49E1"/>
    <w:rsid w:val="00AF65A9"/>
    <w:rsid w:val="00B002FE"/>
    <w:rsid w:val="00B00630"/>
    <w:rsid w:val="00B023EA"/>
    <w:rsid w:val="00B030C8"/>
    <w:rsid w:val="00B04129"/>
    <w:rsid w:val="00B04DD1"/>
    <w:rsid w:val="00B05254"/>
    <w:rsid w:val="00B05AC8"/>
    <w:rsid w:val="00B05DF7"/>
    <w:rsid w:val="00B06B7E"/>
    <w:rsid w:val="00B11A10"/>
    <w:rsid w:val="00B13001"/>
    <w:rsid w:val="00B136B6"/>
    <w:rsid w:val="00B1659F"/>
    <w:rsid w:val="00B1666F"/>
    <w:rsid w:val="00B21CC8"/>
    <w:rsid w:val="00B241A6"/>
    <w:rsid w:val="00B26F2C"/>
    <w:rsid w:val="00B272CA"/>
    <w:rsid w:val="00B30347"/>
    <w:rsid w:val="00B321ED"/>
    <w:rsid w:val="00B32A49"/>
    <w:rsid w:val="00B339B7"/>
    <w:rsid w:val="00B33D9F"/>
    <w:rsid w:val="00B35F02"/>
    <w:rsid w:val="00B36EE8"/>
    <w:rsid w:val="00B37E0B"/>
    <w:rsid w:val="00B4554A"/>
    <w:rsid w:val="00B46754"/>
    <w:rsid w:val="00B46D1A"/>
    <w:rsid w:val="00B50FE7"/>
    <w:rsid w:val="00B515DC"/>
    <w:rsid w:val="00B56E84"/>
    <w:rsid w:val="00B61189"/>
    <w:rsid w:val="00B63563"/>
    <w:rsid w:val="00B63665"/>
    <w:rsid w:val="00B6446F"/>
    <w:rsid w:val="00B653AA"/>
    <w:rsid w:val="00B66256"/>
    <w:rsid w:val="00B67000"/>
    <w:rsid w:val="00B67595"/>
    <w:rsid w:val="00B70513"/>
    <w:rsid w:val="00B70CB1"/>
    <w:rsid w:val="00B762E5"/>
    <w:rsid w:val="00B77C16"/>
    <w:rsid w:val="00B846E7"/>
    <w:rsid w:val="00B849C4"/>
    <w:rsid w:val="00B90C4E"/>
    <w:rsid w:val="00B90F7D"/>
    <w:rsid w:val="00B93341"/>
    <w:rsid w:val="00B944F9"/>
    <w:rsid w:val="00B965F4"/>
    <w:rsid w:val="00BA3E08"/>
    <w:rsid w:val="00BA56CC"/>
    <w:rsid w:val="00BA61E1"/>
    <w:rsid w:val="00BB0206"/>
    <w:rsid w:val="00BB1297"/>
    <w:rsid w:val="00BB25D6"/>
    <w:rsid w:val="00BB2698"/>
    <w:rsid w:val="00BB3C9D"/>
    <w:rsid w:val="00BB46B8"/>
    <w:rsid w:val="00BC0368"/>
    <w:rsid w:val="00BC0735"/>
    <w:rsid w:val="00BC14BF"/>
    <w:rsid w:val="00BC2AE5"/>
    <w:rsid w:val="00BC4C24"/>
    <w:rsid w:val="00BC611C"/>
    <w:rsid w:val="00BC68B5"/>
    <w:rsid w:val="00BC715E"/>
    <w:rsid w:val="00BC7688"/>
    <w:rsid w:val="00BD1986"/>
    <w:rsid w:val="00BD2D1F"/>
    <w:rsid w:val="00BD34F6"/>
    <w:rsid w:val="00BD4A8B"/>
    <w:rsid w:val="00BD60C8"/>
    <w:rsid w:val="00BE1727"/>
    <w:rsid w:val="00BE1B05"/>
    <w:rsid w:val="00BE2AB3"/>
    <w:rsid w:val="00BE4867"/>
    <w:rsid w:val="00BE523D"/>
    <w:rsid w:val="00BE6A5C"/>
    <w:rsid w:val="00BE7DC7"/>
    <w:rsid w:val="00BF0CA0"/>
    <w:rsid w:val="00BF170D"/>
    <w:rsid w:val="00BF602D"/>
    <w:rsid w:val="00BF6C23"/>
    <w:rsid w:val="00BF7752"/>
    <w:rsid w:val="00BF7EA9"/>
    <w:rsid w:val="00C003E4"/>
    <w:rsid w:val="00C0042A"/>
    <w:rsid w:val="00C00ACD"/>
    <w:rsid w:val="00C04D59"/>
    <w:rsid w:val="00C074CE"/>
    <w:rsid w:val="00C10B56"/>
    <w:rsid w:val="00C114DB"/>
    <w:rsid w:val="00C12D8D"/>
    <w:rsid w:val="00C137DE"/>
    <w:rsid w:val="00C14849"/>
    <w:rsid w:val="00C16AEF"/>
    <w:rsid w:val="00C16CD7"/>
    <w:rsid w:val="00C16D40"/>
    <w:rsid w:val="00C17408"/>
    <w:rsid w:val="00C17E75"/>
    <w:rsid w:val="00C2019F"/>
    <w:rsid w:val="00C20F6D"/>
    <w:rsid w:val="00C21C8E"/>
    <w:rsid w:val="00C229D7"/>
    <w:rsid w:val="00C229E7"/>
    <w:rsid w:val="00C241AF"/>
    <w:rsid w:val="00C2421B"/>
    <w:rsid w:val="00C24254"/>
    <w:rsid w:val="00C2427C"/>
    <w:rsid w:val="00C24E1C"/>
    <w:rsid w:val="00C24F1E"/>
    <w:rsid w:val="00C27F99"/>
    <w:rsid w:val="00C31600"/>
    <w:rsid w:val="00C31D44"/>
    <w:rsid w:val="00C328F8"/>
    <w:rsid w:val="00C35890"/>
    <w:rsid w:val="00C406C8"/>
    <w:rsid w:val="00C407EF"/>
    <w:rsid w:val="00C43139"/>
    <w:rsid w:val="00C43D11"/>
    <w:rsid w:val="00C449C3"/>
    <w:rsid w:val="00C46932"/>
    <w:rsid w:val="00C5023A"/>
    <w:rsid w:val="00C50B41"/>
    <w:rsid w:val="00C51385"/>
    <w:rsid w:val="00C52F0C"/>
    <w:rsid w:val="00C56318"/>
    <w:rsid w:val="00C569AD"/>
    <w:rsid w:val="00C57BB6"/>
    <w:rsid w:val="00C61A8A"/>
    <w:rsid w:val="00C62FA8"/>
    <w:rsid w:val="00C70766"/>
    <w:rsid w:val="00C7217B"/>
    <w:rsid w:val="00C72A07"/>
    <w:rsid w:val="00C7385E"/>
    <w:rsid w:val="00C74A0E"/>
    <w:rsid w:val="00C753D6"/>
    <w:rsid w:val="00C7736B"/>
    <w:rsid w:val="00C8158C"/>
    <w:rsid w:val="00C83658"/>
    <w:rsid w:val="00C84910"/>
    <w:rsid w:val="00C8597A"/>
    <w:rsid w:val="00C86110"/>
    <w:rsid w:val="00C916BC"/>
    <w:rsid w:val="00C925BD"/>
    <w:rsid w:val="00C94AC5"/>
    <w:rsid w:val="00C96531"/>
    <w:rsid w:val="00C96830"/>
    <w:rsid w:val="00CA0E59"/>
    <w:rsid w:val="00CA103D"/>
    <w:rsid w:val="00CA14B6"/>
    <w:rsid w:val="00CA19F9"/>
    <w:rsid w:val="00CA3202"/>
    <w:rsid w:val="00CA3C31"/>
    <w:rsid w:val="00CA4A69"/>
    <w:rsid w:val="00CA6208"/>
    <w:rsid w:val="00CA661B"/>
    <w:rsid w:val="00CA684A"/>
    <w:rsid w:val="00CB2C68"/>
    <w:rsid w:val="00CB693D"/>
    <w:rsid w:val="00CB7426"/>
    <w:rsid w:val="00CC0FBF"/>
    <w:rsid w:val="00CC210C"/>
    <w:rsid w:val="00CC3E03"/>
    <w:rsid w:val="00CC4573"/>
    <w:rsid w:val="00CC5053"/>
    <w:rsid w:val="00CD32F0"/>
    <w:rsid w:val="00CD3365"/>
    <w:rsid w:val="00CD4D48"/>
    <w:rsid w:val="00CD5871"/>
    <w:rsid w:val="00CD7B2A"/>
    <w:rsid w:val="00CE2A61"/>
    <w:rsid w:val="00CE38C3"/>
    <w:rsid w:val="00CE7E2C"/>
    <w:rsid w:val="00CF088E"/>
    <w:rsid w:val="00CF3BCC"/>
    <w:rsid w:val="00CF4F51"/>
    <w:rsid w:val="00CF69F4"/>
    <w:rsid w:val="00CF7FA5"/>
    <w:rsid w:val="00D03551"/>
    <w:rsid w:val="00D04496"/>
    <w:rsid w:val="00D0548A"/>
    <w:rsid w:val="00D0691C"/>
    <w:rsid w:val="00D0698B"/>
    <w:rsid w:val="00D071BE"/>
    <w:rsid w:val="00D077DB"/>
    <w:rsid w:val="00D07D45"/>
    <w:rsid w:val="00D10C50"/>
    <w:rsid w:val="00D143BA"/>
    <w:rsid w:val="00D14700"/>
    <w:rsid w:val="00D16273"/>
    <w:rsid w:val="00D2081B"/>
    <w:rsid w:val="00D20D98"/>
    <w:rsid w:val="00D214E7"/>
    <w:rsid w:val="00D2272A"/>
    <w:rsid w:val="00D23299"/>
    <w:rsid w:val="00D24DDA"/>
    <w:rsid w:val="00D25C8D"/>
    <w:rsid w:val="00D260A2"/>
    <w:rsid w:val="00D3168A"/>
    <w:rsid w:val="00D31AB7"/>
    <w:rsid w:val="00D31D09"/>
    <w:rsid w:val="00D334B3"/>
    <w:rsid w:val="00D402E8"/>
    <w:rsid w:val="00D422A9"/>
    <w:rsid w:val="00D43FB6"/>
    <w:rsid w:val="00D45336"/>
    <w:rsid w:val="00D45D62"/>
    <w:rsid w:val="00D47B1E"/>
    <w:rsid w:val="00D50265"/>
    <w:rsid w:val="00D50B6A"/>
    <w:rsid w:val="00D52374"/>
    <w:rsid w:val="00D52679"/>
    <w:rsid w:val="00D526CE"/>
    <w:rsid w:val="00D52E80"/>
    <w:rsid w:val="00D55CBC"/>
    <w:rsid w:val="00D576B6"/>
    <w:rsid w:val="00D576BB"/>
    <w:rsid w:val="00D60489"/>
    <w:rsid w:val="00D61020"/>
    <w:rsid w:val="00D61791"/>
    <w:rsid w:val="00D6475F"/>
    <w:rsid w:val="00D66990"/>
    <w:rsid w:val="00D66C3F"/>
    <w:rsid w:val="00D72AF7"/>
    <w:rsid w:val="00D7330F"/>
    <w:rsid w:val="00D81465"/>
    <w:rsid w:val="00D81AC0"/>
    <w:rsid w:val="00D828F7"/>
    <w:rsid w:val="00D82FF7"/>
    <w:rsid w:val="00D84C04"/>
    <w:rsid w:val="00D86E0F"/>
    <w:rsid w:val="00D87B19"/>
    <w:rsid w:val="00D938A0"/>
    <w:rsid w:val="00D94A0D"/>
    <w:rsid w:val="00D94ACE"/>
    <w:rsid w:val="00D95605"/>
    <w:rsid w:val="00D97FE8"/>
    <w:rsid w:val="00DA0A9C"/>
    <w:rsid w:val="00DA1335"/>
    <w:rsid w:val="00DA2EB8"/>
    <w:rsid w:val="00DA6CC6"/>
    <w:rsid w:val="00DA7821"/>
    <w:rsid w:val="00DA7B56"/>
    <w:rsid w:val="00DB0F82"/>
    <w:rsid w:val="00DB2BA2"/>
    <w:rsid w:val="00DB32FF"/>
    <w:rsid w:val="00DB67ED"/>
    <w:rsid w:val="00DB70B1"/>
    <w:rsid w:val="00DC00C4"/>
    <w:rsid w:val="00DC0177"/>
    <w:rsid w:val="00DC0918"/>
    <w:rsid w:val="00DC16D9"/>
    <w:rsid w:val="00DC40E3"/>
    <w:rsid w:val="00DC5C61"/>
    <w:rsid w:val="00DC5C98"/>
    <w:rsid w:val="00DD062D"/>
    <w:rsid w:val="00DD09D1"/>
    <w:rsid w:val="00DD0B86"/>
    <w:rsid w:val="00DD3E93"/>
    <w:rsid w:val="00DD4225"/>
    <w:rsid w:val="00DD4411"/>
    <w:rsid w:val="00DD4AD0"/>
    <w:rsid w:val="00DD5411"/>
    <w:rsid w:val="00DE03AE"/>
    <w:rsid w:val="00DE2B97"/>
    <w:rsid w:val="00DE3DA9"/>
    <w:rsid w:val="00DE50F9"/>
    <w:rsid w:val="00DE5759"/>
    <w:rsid w:val="00DE5D1D"/>
    <w:rsid w:val="00DE720A"/>
    <w:rsid w:val="00DE75EF"/>
    <w:rsid w:val="00DF287F"/>
    <w:rsid w:val="00DF2C88"/>
    <w:rsid w:val="00DF63FA"/>
    <w:rsid w:val="00DF7296"/>
    <w:rsid w:val="00E00F33"/>
    <w:rsid w:val="00E0206E"/>
    <w:rsid w:val="00E02229"/>
    <w:rsid w:val="00E031AF"/>
    <w:rsid w:val="00E0407A"/>
    <w:rsid w:val="00E05734"/>
    <w:rsid w:val="00E10937"/>
    <w:rsid w:val="00E1229C"/>
    <w:rsid w:val="00E131F9"/>
    <w:rsid w:val="00E158D8"/>
    <w:rsid w:val="00E163DB"/>
    <w:rsid w:val="00E16F4F"/>
    <w:rsid w:val="00E170AC"/>
    <w:rsid w:val="00E2037F"/>
    <w:rsid w:val="00E208C9"/>
    <w:rsid w:val="00E22E48"/>
    <w:rsid w:val="00E238A6"/>
    <w:rsid w:val="00E23A74"/>
    <w:rsid w:val="00E25B01"/>
    <w:rsid w:val="00E27E14"/>
    <w:rsid w:val="00E30FC5"/>
    <w:rsid w:val="00E352B7"/>
    <w:rsid w:val="00E35EAB"/>
    <w:rsid w:val="00E41089"/>
    <w:rsid w:val="00E433A8"/>
    <w:rsid w:val="00E43B3A"/>
    <w:rsid w:val="00E5052C"/>
    <w:rsid w:val="00E50953"/>
    <w:rsid w:val="00E51A1E"/>
    <w:rsid w:val="00E54C3C"/>
    <w:rsid w:val="00E550EE"/>
    <w:rsid w:val="00E639D0"/>
    <w:rsid w:val="00E658BE"/>
    <w:rsid w:val="00E66188"/>
    <w:rsid w:val="00E71347"/>
    <w:rsid w:val="00E71371"/>
    <w:rsid w:val="00E726CD"/>
    <w:rsid w:val="00E75852"/>
    <w:rsid w:val="00E7595D"/>
    <w:rsid w:val="00E76675"/>
    <w:rsid w:val="00E80B4B"/>
    <w:rsid w:val="00E8575D"/>
    <w:rsid w:val="00E877A7"/>
    <w:rsid w:val="00E91DE9"/>
    <w:rsid w:val="00E92133"/>
    <w:rsid w:val="00E97B60"/>
    <w:rsid w:val="00EA1905"/>
    <w:rsid w:val="00EA1E4E"/>
    <w:rsid w:val="00EA2ABF"/>
    <w:rsid w:val="00EA52DD"/>
    <w:rsid w:val="00EA546F"/>
    <w:rsid w:val="00EA5FB9"/>
    <w:rsid w:val="00EA6163"/>
    <w:rsid w:val="00EA72D7"/>
    <w:rsid w:val="00EA7D24"/>
    <w:rsid w:val="00EB0C61"/>
    <w:rsid w:val="00EB0F96"/>
    <w:rsid w:val="00EB146A"/>
    <w:rsid w:val="00EB56B5"/>
    <w:rsid w:val="00EC0AE4"/>
    <w:rsid w:val="00EC0CAA"/>
    <w:rsid w:val="00EC23BB"/>
    <w:rsid w:val="00EC3D17"/>
    <w:rsid w:val="00EC65D3"/>
    <w:rsid w:val="00EC7B1C"/>
    <w:rsid w:val="00ED04F0"/>
    <w:rsid w:val="00ED094F"/>
    <w:rsid w:val="00ED1068"/>
    <w:rsid w:val="00ED16D3"/>
    <w:rsid w:val="00ED1D00"/>
    <w:rsid w:val="00ED4340"/>
    <w:rsid w:val="00ED6FD8"/>
    <w:rsid w:val="00EE17AF"/>
    <w:rsid w:val="00EE4390"/>
    <w:rsid w:val="00EE4518"/>
    <w:rsid w:val="00EE5235"/>
    <w:rsid w:val="00EE5E81"/>
    <w:rsid w:val="00EE725F"/>
    <w:rsid w:val="00EF0AB4"/>
    <w:rsid w:val="00EF1005"/>
    <w:rsid w:val="00EF32D8"/>
    <w:rsid w:val="00EF458E"/>
    <w:rsid w:val="00EF4A8B"/>
    <w:rsid w:val="00EF79AA"/>
    <w:rsid w:val="00F02A68"/>
    <w:rsid w:val="00F05587"/>
    <w:rsid w:val="00F06349"/>
    <w:rsid w:val="00F10A5F"/>
    <w:rsid w:val="00F11C8B"/>
    <w:rsid w:val="00F15BF4"/>
    <w:rsid w:val="00F16181"/>
    <w:rsid w:val="00F1643B"/>
    <w:rsid w:val="00F16F68"/>
    <w:rsid w:val="00F178C1"/>
    <w:rsid w:val="00F20FB0"/>
    <w:rsid w:val="00F2433C"/>
    <w:rsid w:val="00F24ADA"/>
    <w:rsid w:val="00F261D8"/>
    <w:rsid w:val="00F26206"/>
    <w:rsid w:val="00F314E8"/>
    <w:rsid w:val="00F33697"/>
    <w:rsid w:val="00F34EAB"/>
    <w:rsid w:val="00F35A69"/>
    <w:rsid w:val="00F368E5"/>
    <w:rsid w:val="00F36EF4"/>
    <w:rsid w:val="00F3705E"/>
    <w:rsid w:val="00F40801"/>
    <w:rsid w:val="00F4235D"/>
    <w:rsid w:val="00F43FA9"/>
    <w:rsid w:val="00F44084"/>
    <w:rsid w:val="00F44FA8"/>
    <w:rsid w:val="00F4539B"/>
    <w:rsid w:val="00F4554F"/>
    <w:rsid w:val="00F50988"/>
    <w:rsid w:val="00F5264B"/>
    <w:rsid w:val="00F53E53"/>
    <w:rsid w:val="00F55822"/>
    <w:rsid w:val="00F55A25"/>
    <w:rsid w:val="00F55E71"/>
    <w:rsid w:val="00F60B73"/>
    <w:rsid w:val="00F622D9"/>
    <w:rsid w:val="00F62342"/>
    <w:rsid w:val="00F657AA"/>
    <w:rsid w:val="00F67298"/>
    <w:rsid w:val="00F71073"/>
    <w:rsid w:val="00F72C20"/>
    <w:rsid w:val="00F803A0"/>
    <w:rsid w:val="00F8071B"/>
    <w:rsid w:val="00F8106F"/>
    <w:rsid w:val="00F8437C"/>
    <w:rsid w:val="00F854B2"/>
    <w:rsid w:val="00F85D57"/>
    <w:rsid w:val="00F85DA0"/>
    <w:rsid w:val="00F866CD"/>
    <w:rsid w:val="00F90DB7"/>
    <w:rsid w:val="00F92760"/>
    <w:rsid w:val="00F92D63"/>
    <w:rsid w:val="00F94FB7"/>
    <w:rsid w:val="00F96486"/>
    <w:rsid w:val="00F971CB"/>
    <w:rsid w:val="00FA28C1"/>
    <w:rsid w:val="00FA3C20"/>
    <w:rsid w:val="00FA3DFA"/>
    <w:rsid w:val="00FB203E"/>
    <w:rsid w:val="00FB364F"/>
    <w:rsid w:val="00FB463F"/>
    <w:rsid w:val="00FB62F3"/>
    <w:rsid w:val="00FB78C7"/>
    <w:rsid w:val="00FC1D8A"/>
    <w:rsid w:val="00FC31F6"/>
    <w:rsid w:val="00FC3A11"/>
    <w:rsid w:val="00FC3C8A"/>
    <w:rsid w:val="00FC4C9C"/>
    <w:rsid w:val="00FC6C05"/>
    <w:rsid w:val="00FD295C"/>
    <w:rsid w:val="00FD402E"/>
    <w:rsid w:val="00FD50C2"/>
    <w:rsid w:val="00FD62A5"/>
    <w:rsid w:val="00FD6F73"/>
    <w:rsid w:val="00FD791F"/>
    <w:rsid w:val="00FD7F77"/>
    <w:rsid w:val="00FE0C28"/>
    <w:rsid w:val="00FE324D"/>
    <w:rsid w:val="00FE3E12"/>
    <w:rsid w:val="00FE67CE"/>
    <w:rsid w:val="00FE6C67"/>
    <w:rsid w:val="00FF054A"/>
    <w:rsid w:val="00FF0713"/>
    <w:rsid w:val="00FF589C"/>
    <w:rsid w:val="00FF63E2"/>
    <w:rsid w:val="00FF723C"/>
    <w:rsid w:val="00FF73F9"/>
    <w:rsid w:val="00FF78D0"/>
    <w:rsid w:val="00FF7C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4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paragraph" w:styleId="1">
    <w:name w:val="heading 1"/>
    <w:basedOn w:val="a"/>
    <w:next w:val="a"/>
    <w:link w:val="10"/>
    <w:qFormat/>
    <w:rsid w:val="008B1E54"/>
    <w:pPr>
      <w:keepNext/>
      <w:widowControl/>
      <w:autoSpaceDE/>
      <w:autoSpaceDN/>
      <w:adjustRightInd/>
      <w:spacing w:before="60" w:after="60" w:line="240" w:lineRule="auto"/>
      <w:ind w:firstLine="0"/>
      <w:jc w:val="left"/>
      <w:textAlignment w:val="auto"/>
      <w:outlineLvl w:val="0"/>
    </w:pPr>
    <w:rPr>
      <w:rFonts w:ascii="Times New Roman" w:eastAsia="Times New Roman" w:hAnsi="Times New Roman" w:cs="David"/>
      <w:b/>
      <w:bCs/>
      <w:color w:val="auto"/>
      <w:spacing w:val="10"/>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uiPriority w:val="99"/>
    <w:rsid w:val="00E22E48"/>
    <w:pPr>
      <w:keepNext/>
      <w:keepLines/>
      <w:snapToGrid w:val="0"/>
      <w:spacing w:before="240" w:line="360" w:lineRule="auto"/>
      <w:ind w:firstLine="0"/>
      <w:jc w:val="center"/>
    </w:pPr>
    <w:rPr>
      <w:rFonts w:ascii="Arial" w:eastAsia="Arial Unicode MS" w:hAnsi="Arial" w:cs="Arial Unicode MS"/>
      <w:b/>
      <w:bCs/>
      <w:spacing w:val="0"/>
      <w:sz w:val="20"/>
      <w:szCs w:val="26"/>
    </w:rPr>
  </w:style>
  <w:style w:type="paragraph" w:customStyle="1" w:styleId="TableText">
    <w:name w:val="Table Text"/>
    <w:basedOn w:val="a"/>
    <w:uiPriority w:val="99"/>
    <w:rsid w:val="00E22E48"/>
    <w:pPr>
      <w:keepLines/>
      <w:tabs>
        <w:tab w:val="left" w:pos="624"/>
        <w:tab w:val="left" w:pos="1247"/>
      </w:tabs>
      <w:snapToGrid w:val="0"/>
      <w:spacing w:before="0" w:line="360" w:lineRule="auto"/>
      <w:ind w:right="57" w:firstLine="0"/>
      <w:jc w:val="left"/>
    </w:pPr>
    <w:rPr>
      <w:rFonts w:ascii="Arial" w:eastAsia="Arial Unicode MS" w:hAnsi="Arial" w:cs="Arial Unicode MS"/>
      <w:spacing w:val="0"/>
      <w:sz w:val="20"/>
      <w:szCs w:val="26"/>
    </w:rPr>
  </w:style>
  <w:style w:type="paragraph" w:customStyle="1" w:styleId="TableSideHeading">
    <w:name w:val="Table SideHeading"/>
    <w:basedOn w:val="TableText"/>
    <w:uiPriority w:val="99"/>
    <w:rsid w:val="00E22E48"/>
  </w:style>
  <w:style w:type="paragraph" w:customStyle="1" w:styleId="TableBlock">
    <w:name w:val="Table Block"/>
    <w:basedOn w:val="TableText"/>
    <w:uiPriority w:val="99"/>
    <w:rsid w:val="00E22E48"/>
    <w:pPr>
      <w:ind w:right="0"/>
      <w:jc w:val="both"/>
    </w:pPr>
  </w:style>
  <w:style w:type="paragraph" w:customStyle="1" w:styleId="Hesber">
    <w:name w:val="Hesber"/>
    <w:basedOn w:val="a"/>
    <w:uiPriority w:val="99"/>
    <w:rsid w:val="00E22E48"/>
    <w:pPr>
      <w:snapToGrid w:val="0"/>
      <w:spacing w:before="0" w:line="360" w:lineRule="auto"/>
    </w:pPr>
    <w:rPr>
      <w:rFonts w:ascii="Arial" w:eastAsia="Arial Unicode MS" w:hAnsi="Arial" w:cs="Arial Unicode MS"/>
      <w:spacing w:val="0"/>
      <w:sz w:val="20"/>
      <w:szCs w:val="26"/>
    </w:rPr>
  </w:style>
  <w:style w:type="paragraph" w:styleId="a3">
    <w:name w:val="footnote text"/>
    <w:basedOn w:val="a"/>
    <w:link w:val="a4"/>
    <w:autoRedefine/>
    <w:uiPriority w:val="99"/>
    <w:rsid w:val="00E22E48"/>
    <w:pPr>
      <w:snapToGrid w:val="0"/>
      <w:spacing w:before="0" w:line="240" w:lineRule="auto"/>
      <w:ind w:left="227" w:hanging="227"/>
      <w:jc w:val="left"/>
    </w:pPr>
    <w:rPr>
      <w:rFonts w:ascii="Arial" w:eastAsia="Arial Unicode MS" w:hAnsi="Arial" w:cs="Arial Unicode MS"/>
      <w:spacing w:val="0"/>
      <w:sz w:val="14"/>
      <w:szCs w:val="20"/>
    </w:rPr>
  </w:style>
  <w:style w:type="character" w:customStyle="1" w:styleId="a4">
    <w:name w:val="טקסט הערת שוליים תו"/>
    <w:basedOn w:val="a0"/>
    <w:link w:val="a3"/>
    <w:uiPriority w:val="99"/>
    <w:rsid w:val="00E22E48"/>
    <w:rPr>
      <w:rFonts w:ascii="Arial" w:eastAsia="Arial Unicode MS" w:hAnsi="Arial" w:cs="Arial Unicode MS"/>
      <w:color w:val="000000"/>
      <w:sz w:val="14"/>
      <w:szCs w:val="20"/>
      <w:lang w:eastAsia="ja-JP"/>
    </w:rPr>
  </w:style>
  <w:style w:type="character" w:styleId="a5">
    <w:name w:val="footnote reference"/>
    <w:aliases w:val="Footnote Reference"/>
    <w:basedOn w:val="a0"/>
    <w:uiPriority w:val="99"/>
    <w:rsid w:val="00E22E48"/>
    <w:rPr>
      <w:rFonts w:cs="Times New Roman"/>
      <w:vertAlign w:val="superscript"/>
    </w:rPr>
  </w:style>
  <w:style w:type="paragraph" w:styleId="a6">
    <w:name w:val="footer"/>
    <w:basedOn w:val="a"/>
    <w:link w:val="a7"/>
    <w:uiPriority w:val="99"/>
    <w:rsid w:val="00E22E48"/>
    <w:pPr>
      <w:tabs>
        <w:tab w:val="center" w:pos="4153"/>
        <w:tab w:val="right" w:pos="8306"/>
      </w:tabs>
    </w:pPr>
  </w:style>
  <w:style w:type="character" w:customStyle="1" w:styleId="a7">
    <w:name w:val="כותרת תחתונה תו"/>
    <w:basedOn w:val="a0"/>
    <w:link w:val="a6"/>
    <w:uiPriority w:val="99"/>
    <w:rsid w:val="00E22E48"/>
    <w:rPr>
      <w:rFonts w:ascii="Hadasa Roso SL" w:eastAsia="MS Mincho" w:hAnsi="Hadasa Roso SL" w:cs="MS Mincho"/>
      <w:color w:val="000000"/>
      <w:spacing w:val="1"/>
      <w:sz w:val="17"/>
      <w:szCs w:val="17"/>
      <w:lang w:eastAsia="ja-JP"/>
    </w:rPr>
  </w:style>
  <w:style w:type="paragraph" w:customStyle="1" w:styleId="HeadDivreiHesber">
    <w:name w:val="Head DivreiHesber"/>
    <w:basedOn w:val="a"/>
    <w:uiPriority w:val="99"/>
    <w:rsid w:val="00E22E48"/>
    <w:pPr>
      <w:snapToGrid w:val="0"/>
      <w:spacing w:before="360" w:after="120" w:line="360" w:lineRule="auto"/>
      <w:ind w:firstLine="0"/>
      <w:jc w:val="center"/>
    </w:pPr>
    <w:rPr>
      <w:rFonts w:ascii="Arial" w:eastAsia="Arial Unicode MS" w:hAnsi="Arial" w:cs="Arial Unicode MS"/>
      <w:b/>
      <w:spacing w:val="40"/>
      <w:sz w:val="20"/>
      <w:szCs w:val="26"/>
    </w:rPr>
  </w:style>
  <w:style w:type="character" w:styleId="a8">
    <w:name w:val="page number"/>
    <w:basedOn w:val="a0"/>
    <w:uiPriority w:val="99"/>
    <w:rsid w:val="00E22E48"/>
    <w:rPr>
      <w:rFonts w:cs="Times New Roman"/>
    </w:rPr>
  </w:style>
  <w:style w:type="paragraph" w:customStyle="1" w:styleId="David">
    <w:name w:val="רגיל + (עברית ושפות אחרות) David"/>
    <w:aliases w:val="‏13 נק',מודגש,אחרי:  6 נק'"/>
    <w:basedOn w:val="a"/>
    <w:uiPriority w:val="99"/>
    <w:rsid w:val="00E22E48"/>
    <w:pPr>
      <w:ind w:firstLine="0"/>
      <w:jc w:val="left"/>
    </w:pPr>
    <w:rPr>
      <w:sz w:val="26"/>
      <w:szCs w:val="26"/>
    </w:rPr>
  </w:style>
  <w:style w:type="paragraph" w:customStyle="1" w:styleId="NormalPar">
    <w:name w:val="NormalPar"/>
    <w:rsid w:val="001D7C44"/>
    <w:pPr>
      <w:autoSpaceDE w:val="0"/>
      <w:autoSpaceDN w:val="0"/>
      <w:bidi/>
      <w:spacing w:after="0" w:line="240" w:lineRule="auto"/>
    </w:pPr>
    <w:rPr>
      <w:rFonts w:ascii="Times New Roman" w:eastAsia="Times New Roman" w:hAnsi="Times New Roman" w:cs="Times New Roman"/>
      <w:sz w:val="24"/>
      <w:szCs w:val="24"/>
      <w:lang w:eastAsia="he-IL"/>
    </w:rPr>
  </w:style>
  <w:style w:type="character" w:customStyle="1" w:styleId="apple-style-span">
    <w:name w:val="apple-style-span"/>
    <w:basedOn w:val="a0"/>
    <w:rsid w:val="001D7C44"/>
  </w:style>
  <w:style w:type="character" w:customStyle="1" w:styleId="10">
    <w:name w:val="כותרת 1 תו"/>
    <w:basedOn w:val="a0"/>
    <w:link w:val="1"/>
    <w:rsid w:val="008B1E54"/>
    <w:rPr>
      <w:rFonts w:ascii="Times New Roman" w:eastAsia="Times New Roman" w:hAnsi="Times New Roman" w:cs="David"/>
      <w:b/>
      <w:bCs/>
      <w:spacing w:val="10"/>
      <w:lang w:eastAsia="he-IL"/>
    </w:rPr>
  </w:style>
  <w:style w:type="character" w:customStyle="1" w:styleId="main">
    <w:name w:val="main"/>
    <w:basedOn w:val="a0"/>
    <w:rsid w:val="008B1E54"/>
  </w:style>
  <w:style w:type="character" w:customStyle="1" w:styleId="HebrewChar">
    <w:name w:val="Hebrew_Char"/>
    <w:rsid w:val="008B1E54"/>
    <w:rPr>
      <w:rFonts w:cs="David"/>
      <w:lang w:bidi="he-IL"/>
    </w:rPr>
  </w:style>
  <w:style w:type="paragraph" w:styleId="a9">
    <w:name w:val="header"/>
    <w:basedOn w:val="a"/>
    <w:link w:val="aa"/>
    <w:rsid w:val="00A95E42"/>
    <w:pPr>
      <w:widowControl/>
      <w:tabs>
        <w:tab w:val="center" w:pos="4153"/>
        <w:tab w:val="right" w:pos="8306"/>
      </w:tabs>
      <w:autoSpaceDE/>
      <w:autoSpaceDN/>
      <w:adjustRightInd/>
      <w:spacing w:before="0" w:line="240" w:lineRule="auto"/>
      <w:ind w:firstLine="0"/>
      <w:jc w:val="left"/>
      <w:textAlignment w:val="auto"/>
    </w:pPr>
    <w:rPr>
      <w:rFonts w:ascii="David" w:eastAsia="David" w:hAnsi="David" w:cs="David"/>
      <w:color w:val="auto"/>
      <w:spacing w:val="0"/>
      <w:sz w:val="24"/>
      <w:szCs w:val="24"/>
      <w:lang w:eastAsia="en-US"/>
    </w:rPr>
  </w:style>
  <w:style w:type="character" w:customStyle="1" w:styleId="aa">
    <w:name w:val="כותרת עליונה תו"/>
    <w:basedOn w:val="a0"/>
    <w:link w:val="a9"/>
    <w:rsid w:val="00A95E42"/>
    <w:rPr>
      <w:rFonts w:ascii="David" w:eastAsia="David" w:hAnsi="David" w:cs="David"/>
      <w:sz w:val="24"/>
      <w:szCs w:val="24"/>
    </w:rPr>
  </w:style>
  <w:style w:type="table" w:styleId="ab">
    <w:name w:val="Table Grid"/>
    <w:basedOn w:val="a1"/>
    <w:uiPriority w:val="99"/>
    <w:rsid w:val="00A95E42"/>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
    <w:rsid w:val="00A95E42"/>
    <w:pPr>
      <w:widowControl/>
      <w:autoSpaceDE/>
      <w:autoSpaceDN/>
      <w:adjustRightInd/>
      <w:spacing w:before="0" w:line="240" w:lineRule="auto"/>
      <w:ind w:firstLine="0"/>
      <w:jc w:val="left"/>
      <w:textAlignment w:val="auto"/>
    </w:pPr>
    <w:rPr>
      <w:rFonts w:ascii="Times New Roman" w:eastAsia="Times New Roman" w:hAnsi="Times New Roman" w:cs="David"/>
      <w:b/>
      <w:bCs/>
      <w:color w:val="auto"/>
      <w:spacing w:val="0"/>
      <w:sz w:val="24"/>
      <w:szCs w:val="24"/>
      <w:u w:val="single"/>
      <w:lang w:eastAsia="en-US"/>
    </w:rPr>
  </w:style>
  <w:style w:type="paragraph" w:customStyle="1" w:styleId="David0">
    <w:name w:val="סגנון (עברית ושפות אחרות) David מיושר לשני הצדדים מרווח בין שורות..."/>
    <w:basedOn w:val="a"/>
    <w:rsid w:val="00A95E42"/>
    <w:pPr>
      <w:widowControl/>
      <w:autoSpaceDE/>
      <w:autoSpaceDN/>
      <w:adjustRightInd/>
      <w:spacing w:before="0" w:line="360" w:lineRule="auto"/>
      <w:ind w:firstLine="0"/>
      <w:textAlignment w:val="auto"/>
    </w:pPr>
    <w:rPr>
      <w:rFonts w:ascii="Times New Roman" w:eastAsia="Times New Roman" w:hAnsi="Times New Roman" w:cs="David"/>
      <w:color w:val="auto"/>
      <w:spacing w:val="0"/>
      <w:sz w:val="24"/>
      <w:szCs w:val="24"/>
      <w:lang w:eastAsia="en-US"/>
    </w:rPr>
  </w:style>
  <w:style w:type="paragraph" w:customStyle="1" w:styleId="TableInnerSideHeading">
    <w:name w:val="Table InnerSideHeading"/>
    <w:basedOn w:val="TableSideHeading"/>
    <w:uiPriority w:val="99"/>
    <w:rsid w:val="00251044"/>
    <w:rPr>
      <w:rFonts w:cs="David"/>
    </w:rPr>
  </w:style>
  <w:style w:type="paragraph" w:customStyle="1" w:styleId="Noparagraphstyle">
    <w:name w:val="[No paragraph style]"/>
    <w:uiPriority w:val="99"/>
    <w:rsid w:val="00251044"/>
    <w:pPr>
      <w:widowControl w:val="0"/>
      <w:autoSpaceDE w:val="0"/>
      <w:autoSpaceDN w:val="0"/>
      <w:bidi/>
      <w:adjustRightInd w:val="0"/>
      <w:snapToGrid w:val="0"/>
      <w:spacing w:after="0" w:line="360" w:lineRule="auto"/>
      <w:textAlignment w:val="center"/>
    </w:pPr>
    <w:rPr>
      <w:rFonts w:ascii="Arial" w:eastAsia="Arial Unicode MS" w:hAnsi="Arial" w:cs="David"/>
      <w:color w:val="000000"/>
      <w:sz w:val="20"/>
      <w:szCs w:val="2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739</Words>
  <Characters>3698</Characters>
  <Application>Microsoft Office Word</Application>
  <DocSecurity>0</DocSecurity>
  <Lines>30</Lines>
  <Paragraphs>8</Paragraphs>
  <ScaleCrop>false</ScaleCrop>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שלמה</dc:creator>
  <cp:keywords/>
  <dc:description/>
  <cp:lastModifiedBy>שלמה</cp:lastModifiedBy>
  <cp:revision>7</cp:revision>
  <dcterms:created xsi:type="dcterms:W3CDTF">2012-12-28T12:19:00Z</dcterms:created>
  <dcterms:modified xsi:type="dcterms:W3CDTF">2013-01-18T11:16:00Z</dcterms:modified>
</cp:coreProperties>
</file>