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CF" w:rsidRPr="00812ACF" w:rsidRDefault="00812ACF" w:rsidP="00812ACF">
      <w:pPr>
        <w:tabs>
          <w:tab w:val="left" w:pos="432"/>
          <w:tab w:val="left" w:pos="2448"/>
          <w:tab w:val="left" w:pos="3888"/>
          <w:tab w:val="left" w:pos="4464"/>
          <w:tab w:val="left" w:pos="5184"/>
        </w:tabs>
        <w:spacing w:after="80" w:line="260" w:lineRule="exact"/>
        <w:jc w:val="right"/>
        <w:rPr>
          <w:rFonts w:cs="FrankRuehl" w:hint="cs"/>
          <w:sz w:val="20"/>
          <w:szCs w:val="20"/>
          <w:rtl/>
          <w:lang w:eastAsia="en-US"/>
        </w:rPr>
      </w:pPr>
    </w:p>
    <w:p w:rsidR="00812ACF" w:rsidRPr="00812ACF" w:rsidRDefault="00812ACF" w:rsidP="00812ACF">
      <w:pPr>
        <w:pBdr>
          <w:top w:val="single" w:sz="4" w:space="0" w:color="auto"/>
          <w:left w:val="single" w:sz="4" w:space="0" w:color="auto"/>
          <w:bottom w:val="single" w:sz="4" w:space="0" w:color="auto"/>
          <w:right w:val="single" w:sz="4" w:space="0" w:color="auto"/>
        </w:pBdr>
        <w:tabs>
          <w:tab w:val="left" w:pos="432"/>
          <w:tab w:val="left" w:pos="2448"/>
          <w:tab w:val="left" w:pos="3888"/>
          <w:tab w:val="left" w:pos="4464"/>
          <w:tab w:val="left" w:pos="5184"/>
        </w:tabs>
        <w:spacing w:after="120" w:line="240" w:lineRule="exact"/>
        <w:ind w:left="283" w:hanging="283"/>
        <w:rPr>
          <w:rFonts w:cs="FrankRuehl"/>
          <w:sz w:val="20"/>
          <w:szCs w:val="20"/>
          <w:lang w:eastAsia="en-US"/>
        </w:rPr>
      </w:pPr>
      <w:r w:rsidRPr="00812ACF">
        <w:rPr>
          <w:rFonts w:cs="FrankRuehl"/>
          <w:sz w:val="20"/>
          <w:szCs w:val="20"/>
          <w:rtl/>
          <w:lang w:eastAsia="en-US"/>
        </w:rPr>
        <w:t xml:space="preserve">בקשות שונות פלילי מס' </w:t>
      </w:r>
      <w:r w:rsidRPr="00812ACF">
        <w:rPr>
          <w:rFonts w:cs="FrankRuehl"/>
          <w:sz w:val="20"/>
          <w:szCs w:val="20"/>
          <w:lang w:eastAsia="en-US"/>
        </w:rPr>
        <w:t>3503/91</w:t>
      </w:r>
    </w:p>
    <w:p w:rsidR="00812ACF" w:rsidRPr="00812ACF" w:rsidRDefault="00812ACF" w:rsidP="00812ACF">
      <w:pPr>
        <w:tabs>
          <w:tab w:val="left" w:pos="432"/>
          <w:tab w:val="left" w:pos="2448"/>
          <w:tab w:val="left" w:pos="3888"/>
          <w:tab w:val="left" w:pos="4464"/>
          <w:tab w:val="left" w:pos="5184"/>
        </w:tabs>
        <w:spacing w:after="80" w:line="260" w:lineRule="exact"/>
        <w:rPr>
          <w:rFonts w:cs="FrankRuehl"/>
          <w:sz w:val="20"/>
          <w:szCs w:val="20"/>
          <w:rtl/>
          <w:lang w:eastAsia="en-US"/>
        </w:rPr>
      </w:pPr>
      <w:r w:rsidRPr="00812ACF">
        <w:rPr>
          <w:rFonts w:cs="FrankRuehl"/>
          <w:sz w:val="20"/>
          <w:szCs w:val="20"/>
          <w:rtl/>
          <w:lang w:eastAsia="en-US"/>
        </w:rPr>
        <w:t xml:space="preserve"> אבי שוברט</w:t>
      </w:r>
    </w:p>
    <w:p w:rsidR="00812ACF" w:rsidRPr="00812ACF" w:rsidRDefault="00812ACF" w:rsidP="00812ACF">
      <w:pPr>
        <w:tabs>
          <w:tab w:val="left" w:pos="432"/>
          <w:tab w:val="left" w:pos="2448"/>
          <w:tab w:val="left" w:pos="3888"/>
          <w:tab w:val="left" w:pos="4464"/>
          <w:tab w:val="left" w:pos="5184"/>
        </w:tabs>
        <w:spacing w:after="80" w:line="260" w:lineRule="exact"/>
        <w:rPr>
          <w:rFonts w:cs="FrankRuehl"/>
          <w:sz w:val="20"/>
          <w:szCs w:val="20"/>
          <w:lang w:eastAsia="en-US"/>
        </w:rPr>
      </w:pPr>
      <w:r w:rsidRPr="00812ACF">
        <w:rPr>
          <w:rFonts w:cs="FrankRuehl"/>
          <w:sz w:val="20"/>
          <w:szCs w:val="20"/>
          <w:rtl/>
          <w:lang w:eastAsia="en-US"/>
        </w:rPr>
        <w:t>נגד</w:t>
      </w:r>
    </w:p>
    <w:p w:rsidR="00812ACF" w:rsidRPr="00812ACF" w:rsidRDefault="00812ACF" w:rsidP="00812ACF">
      <w:pPr>
        <w:tabs>
          <w:tab w:val="left" w:pos="432"/>
          <w:tab w:val="left" w:pos="2448"/>
          <w:tab w:val="left" w:pos="3888"/>
          <w:tab w:val="left" w:pos="4464"/>
          <w:tab w:val="left" w:pos="5184"/>
        </w:tabs>
        <w:spacing w:after="80" w:line="260" w:lineRule="exact"/>
        <w:rPr>
          <w:rFonts w:cs="FrankRuehl"/>
          <w:sz w:val="20"/>
          <w:szCs w:val="20"/>
          <w:lang w:eastAsia="en-US"/>
        </w:rPr>
      </w:pPr>
      <w:r w:rsidRPr="00812ACF">
        <w:rPr>
          <w:rFonts w:cs="FrankRuehl"/>
          <w:sz w:val="20"/>
          <w:szCs w:val="20"/>
          <w:rtl/>
          <w:lang w:eastAsia="en-US"/>
        </w:rPr>
        <w:t>שאול צפריר</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bookmarkStart w:id="0" w:name="BeitMishpat"/>
      <w:bookmarkEnd w:id="0"/>
      <w:r w:rsidRPr="00812ACF">
        <w:rPr>
          <w:rFonts w:cs="FrankRuehl"/>
          <w:sz w:val="20"/>
          <w:szCs w:val="20"/>
          <w:rtl/>
          <w:lang w:eastAsia="en-US"/>
        </w:rPr>
        <w:t>בבית המשפט העליון</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16.6.92</w:t>
      </w:r>
      <w:r w:rsidRPr="00812ACF">
        <w:rPr>
          <w:rFonts w:cs="FrankRuehl"/>
          <w:sz w:val="20"/>
          <w:szCs w:val="20"/>
          <w:rtl/>
          <w:lang w:eastAsia="en-US"/>
        </w:rPr>
        <w:t>]</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r w:rsidRPr="00812ACF">
        <w:rPr>
          <w:rFonts w:cs="FrankRuehl"/>
          <w:sz w:val="20"/>
          <w:szCs w:val="20"/>
          <w:rtl/>
          <w:lang w:eastAsia="en-US"/>
        </w:rPr>
        <w:t xml:space="preserve"> לפני השופטים ש' נתניהו, ת' אור, א' מצא</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hyperlink r:id="rId7"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תשמ"ב-</w:t>
      </w:r>
      <w:r w:rsidRPr="00812ACF">
        <w:rPr>
          <w:rFonts w:cs="FrankRuehl"/>
          <w:sz w:val="20"/>
          <w:szCs w:val="20"/>
          <w:lang w:eastAsia="en-US"/>
        </w:rPr>
        <w:t>1982</w:t>
      </w:r>
      <w:r w:rsidRPr="00812ACF">
        <w:rPr>
          <w:rFonts w:cs="FrankRuehl"/>
          <w:sz w:val="20"/>
          <w:szCs w:val="20"/>
          <w:rtl/>
          <w:lang w:eastAsia="en-US"/>
        </w:rPr>
        <w:t xml:space="preserve">, ס"ח </w:t>
      </w:r>
      <w:r w:rsidRPr="00812ACF">
        <w:rPr>
          <w:rFonts w:cs="FrankRuehl"/>
          <w:sz w:val="20"/>
          <w:szCs w:val="20"/>
          <w:lang w:eastAsia="en-US"/>
        </w:rPr>
        <w:t>43</w:t>
      </w:r>
      <w:r w:rsidRPr="00812ACF">
        <w:rPr>
          <w:rFonts w:cs="FrankRuehl"/>
          <w:sz w:val="20"/>
          <w:szCs w:val="20"/>
          <w:rtl/>
          <w:lang w:eastAsia="en-US"/>
        </w:rPr>
        <w:t xml:space="preserve">, סעיפים </w:t>
      </w:r>
      <w:r w:rsidRPr="00812ACF">
        <w:rPr>
          <w:rFonts w:cs="FrankRuehl"/>
          <w:sz w:val="20"/>
          <w:szCs w:val="20"/>
          <w:lang w:eastAsia="en-US"/>
        </w:rPr>
        <w:t>11,</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rtl/>
          <w:lang w:eastAsia="en-US"/>
        </w:rPr>
      </w:pPr>
      <w:r w:rsidRPr="00812ACF">
        <w:rPr>
          <w:rFonts w:cs="FrankRuehl"/>
          <w:sz w:val="20"/>
          <w:szCs w:val="20"/>
          <w:lang w:eastAsia="en-US"/>
        </w:rPr>
        <w:t>21</w:t>
      </w:r>
      <w:r w:rsidRPr="00812ACF">
        <w:rPr>
          <w:rFonts w:cs="FrankRuehl"/>
          <w:sz w:val="20"/>
          <w:szCs w:val="20"/>
          <w:rtl/>
          <w:lang w:eastAsia="en-US"/>
        </w:rPr>
        <w:t xml:space="preserve">א, </w:t>
      </w:r>
      <w:r w:rsidRPr="00812ACF">
        <w:rPr>
          <w:rFonts w:cs="FrankRuehl"/>
          <w:sz w:val="20"/>
          <w:szCs w:val="20"/>
          <w:lang w:eastAsia="en-US"/>
        </w:rPr>
        <w:t>21</w:t>
      </w:r>
      <w:r w:rsidRPr="00812ACF">
        <w:rPr>
          <w:rFonts w:cs="FrankRuehl"/>
          <w:sz w:val="20"/>
          <w:szCs w:val="20"/>
          <w:rtl/>
          <w:lang w:eastAsia="en-US"/>
        </w:rPr>
        <w:t xml:space="preserve">א(א)(1), </w:t>
      </w:r>
      <w:r w:rsidRPr="00812ACF">
        <w:rPr>
          <w:rFonts w:cs="FrankRuehl"/>
          <w:sz w:val="20"/>
          <w:szCs w:val="20"/>
          <w:lang w:eastAsia="en-US"/>
        </w:rPr>
        <w:t>21</w:t>
      </w:r>
      <w:r w:rsidRPr="00812ACF">
        <w:rPr>
          <w:rFonts w:cs="FrankRuehl"/>
          <w:sz w:val="20"/>
          <w:szCs w:val="20"/>
          <w:rtl/>
          <w:lang w:eastAsia="en-US"/>
        </w:rPr>
        <w:t xml:space="preserve">א (ב), </w:t>
      </w:r>
      <w:r w:rsidRPr="00812ACF">
        <w:rPr>
          <w:rFonts w:cs="FrankRuehl"/>
          <w:sz w:val="20"/>
          <w:szCs w:val="20"/>
          <w:lang w:eastAsia="en-US"/>
        </w:rPr>
        <w:t>21</w:t>
      </w:r>
      <w:r w:rsidRPr="00812ACF">
        <w:rPr>
          <w:rFonts w:cs="FrankRuehl"/>
          <w:sz w:val="20"/>
          <w:szCs w:val="20"/>
          <w:rtl/>
          <w:lang w:eastAsia="en-US"/>
        </w:rPr>
        <w:t xml:space="preserve">א(ד), </w:t>
      </w:r>
      <w:r w:rsidRPr="00812ACF">
        <w:rPr>
          <w:rFonts w:cs="FrankRuehl"/>
          <w:sz w:val="20"/>
          <w:szCs w:val="20"/>
          <w:lang w:eastAsia="en-US"/>
        </w:rPr>
        <w:t>68</w:t>
      </w:r>
      <w:r w:rsidRPr="00812ACF">
        <w:rPr>
          <w:rFonts w:cs="FrankRuehl"/>
          <w:sz w:val="20"/>
          <w:szCs w:val="20"/>
          <w:rtl/>
          <w:lang w:eastAsia="en-US"/>
        </w:rPr>
        <w:t xml:space="preserve">, </w:t>
      </w:r>
      <w:r w:rsidRPr="00812ACF">
        <w:rPr>
          <w:rFonts w:cs="FrankRuehl"/>
          <w:sz w:val="20"/>
          <w:szCs w:val="20"/>
          <w:lang w:eastAsia="en-US"/>
        </w:rPr>
        <w:t>69</w:t>
      </w:r>
      <w:r w:rsidRPr="00812ACF">
        <w:rPr>
          <w:rFonts w:cs="FrankRuehl"/>
          <w:sz w:val="20"/>
          <w:szCs w:val="20"/>
          <w:rtl/>
          <w:lang w:eastAsia="en-US"/>
        </w:rPr>
        <w:t xml:space="preserve">, </w:t>
      </w:r>
      <w:r w:rsidRPr="00812ACF">
        <w:rPr>
          <w:rFonts w:cs="FrankRuehl"/>
          <w:sz w:val="20"/>
          <w:szCs w:val="20"/>
          <w:lang w:eastAsia="en-US"/>
        </w:rPr>
        <w:t>70</w:t>
      </w:r>
      <w:r w:rsidRPr="00812ACF">
        <w:rPr>
          <w:rFonts w:cs="FrankRuehl"/>
          <w:sz w:val="20"/>
          <w:szCs w:val="20"/>
          <w:rtl/>
          <w:lang w:eastAsia="en-US"/>
        </w:rPr>
        <w:t xml:space="preserve">, </w:t>
      </w:r>
      <w:r w:rsidRPr="00812ACF">
        <w:rPr>
          <w:rFonts w:cs="FrankRuehl"/>
          <w:sz w:val="20"/>
          <w:szCs w:val="20"/>
          <w:lang w:eastAsia="en-US"/>
        </w:rPr>
        <w:t>71</w:t>
      </w:r>
      <w:r w:rsidRPr="00812ACF">
        <w:rPr>
          <w:rFonts w:cs="FrankRuehl"/>
          <w:sz w:val="20"/>
          <w:szCs w:val="20"/>
          <w:rtl/>
          <w:lang w:eastAsia="en-US"/>
        </w:rPr>
        <w:t xml:space="preserve">, </w:t>
      </w:r>
      <w:r w:rsidRPr="00812ACF">
        <w:rPr>
          <w:rFonts w:cs="FrankRuehl"/>
          <w:sz w:val="20"/>
          <w:szCs w:val="20"/>
          <w:lang w:eastAsia="en-US"/>
        </w:rPr>
        <w:t>72</w:t>
      </w:r>
      <w:r w:rsidRPr="00812ACF">
        <w:rPr>
          <w:rFonts w:cs="FrankRuehl"/>
          <w:sz w:val="20"/>
          <w:szCs w:val="20"/>
          <w:rtl/>
          <w:lang w:eastAsia="en-US"/>
        </w:rPr>
        <w:t xml:space="preserve">, </w:t>
      </w:r>
      <w:r w:rsidRPr="00812ACF">
        <w:rPr>
          <w:rFonts w:cs="FrankRuehl"/>
          <w:sz w:val="20"/>
          <w:szCs w:val="20"/>
          <w:lang w:eastAsia="en-US"/>
        </w:rPr>
        <w:t>73</w:t>
      </w:r>
      <w:r w:rsidRPr="00812ACF">
        <w:rPr>
          <w:rFonts w:cs="FrankRuehl"/>
          <w:sz w:val="20"/>
          <w:szCs w:val="20"/>
          <w:rtl/>
          <w:lang w:eastAsia="en-US"/>
        </w:rPr>
        <w:t xml:space="preserve">, </w:t>
      </w:r>
      <w:r w:rsidRPr="00812ACF">
        <w:rPr>
          <w:rFonts w:cs="FrankRuehl"/>
          <w:sz w:val="20"/>
          <w:szCs w:val="20"/>
          <w:lang w:eastAsia="en-US"/>
        </w:rPr>
        <w:t>74</w:t>
      </w:r>
      <w:r w:rsidRPr="00812ACF">
        <w:rPr>
          <w:rFonts w:cs="FrankRuehl"/>
          <w:sz w:val="20"/>
          <w:szCs w:val="20"/>
          <w:rtl/>
          <w:lang w:eastAsia="en-US"/>
        </w:rPr>
        <w:t xml:space="preserve">, </w:t>
      </w:r>
      <w:r w:rsidRPr="00812ACF">
        <w:rPr>
          <w:rFonts w:cs="FrankRuehl"/>
          <w:sz w:val="20"/>
          <w:szCs w:val="20"/>
          <w:lang w:eastAsia="en-US"/>
        </w:rPr>
        <w:t>79</w:t>
      </w:r>
      <w:r w:rsidRPr="00812ACF">
        <w:rPr>
          <w:rFonts w:cs="FrankRuehl"/>
          <w:sz w:val="20"/>
          <w:szCs w:val="20"/>
          <w:rtl/>
          <w:lang w:eastAsia="en-US"/>
        </w:rPr>
        <w:t xml:space="preserve">, </w:t>
      </w:r>
      <w:r w:rsidRPr="00812ACF">
        <w:rPr>
          <w:rFonts w:cs="FrankRuehl"/>
          <w:sz w:val="20"/>
          <w:szCs w:val="20"/>
          <w:lang w:eastAsia="en-US"/>
        </w:rPr>
        <w:t>94</w:t>
      </w:r>
      <w:r w:rsidRPr="00812ACF">
        <w:rPr>
          <w:rFonts w:cs="FrankRuehl"/>
          <w:sz w:val="20"/>
          <w:szCs w:val="20"/>
          <w:rtl/>
          <w:lang w:eastAsia="en-US"/>
        </w:rPr>
        <w:t xml:space="preserve">, </w:t>
      </w:r>
      <w:r w:rsidRPr="00812ACF">
        <w:rPr>
          <w:rFonts w:cs="FrankRuehl"/>
          <w:sz w:val="20"/>
          <w:szCs w:val="20"/>
          <w:lang w:eastAsia="en-US"/>
        </w:rPr>
        <w:t>133</w:t>
      </w:r>
      <w:r w:rsidRPr="00812ACF">
        <w:rPr>
          <w:rFonts w:cs="FrankRuehl"/>
          <w:sz w:val="20"/>
          <w:szCs w:val="20"/>
          <w:rtl/>
          <w:lang w:eastAsia="en-US"/>
        </w:rPr>
        <w:t xml:space="preserve">, </w:t>
      </w:r>
      <w:r w:rsidRPr="00812ACF">
        <w:rPr>
          <w:rFonts w:cs="FrankRuehl"/>
          <w:sz w:val="20"/>
          <w:szCs w:val="20"/>
          <w:lang w:eastAsia="en-US"/>
        </w:rPr>
        <w:t>184</w:t>
      </w:r>
      <w:r w:rsidRPr="00812ACF">
        <w:rPr>
          <w:rFonts w:cs="FrankRuehl"/>
          <w:sz w:val="20"/>
          <w:szCs w:val="20"/>
          <w:rtl/>
          <w:lang w:eastAsia="en-US"/>
        </w:rPr>
        <w:t xml:space="preserve">, פרק ג' , פרק ד' סימן ב' , התוספת </w:t>
      </w:r>
      <w:proofErr w:type="spellStart"/>
      <w:r w:rsidRPr="00812ACF">
        <w:rPr>
          <w:rFonts w:cs="FrankRuehl"/>
          <w:sz w:val="20"/>
          <w:szCs w:val="20"/>
          <w:rtl/>
          <w:lang w:eastAsia="en-US"/>
        </w:rPr>
        <w:t>השניה</w:t>
      </w:r>
      <w:proofErr w:type="spellEnd"/>
      <w:r w:rsidRPr="00812ACF">
        <w:rPr>
          <w:rFonts w:cs="FrankRuehl"/>
          <w:sz w:val="20"/>
          <w:szCs w:val="20"/>
          <w:rtl/>
          <w:lang w:eastAsia="en-US"/>
        </w:rPr>
        <w:t xml:space="preserve"> - </w:t>
      </w:r>
      <w:hyperlink r:id="rId8" w:history="1">
        <w:r w:rsidRPr="00812ACF">
          <w:rPr>
            <w:rStyle w:val="Hyperlink"/>
            <w:rFonts w:cs="FrankRuehl"/>
            <w:sz w:val="20"/>
            <w:szCs w:val="20"/>
            <w:rtl/>
            <w:lang w:eastAsia="en-US"/>
          </w:rPr>
          <w:t>חוק העונשין</w:t>
        </w:r>
      </w:hyperlink>
      <w:r w:rsidRPr="00812ACF">
        <w:rPr>
          <w:rFonts w:cs="FrankRuehl"/>
          <w:sz w:val="20"/>
          <w:szCs w:val="20"/>
          <w:rtl/>
          <w:lang w:eastAsia="en-US"/>
        </w:rPr>
        <w:t>, תשל"ז-</w:t>
      </w:r>
      <w:r w:rsidRPr="00812ACF">
        <w:rPr>
          <w:rFonts w:cs="FrankRuehl"/>
          <w:sz w:val="20"/>
          <w:szCs w:val="20"/>
          <w:lang w:eastAsia="en-US"/>
        </w:rPr>
        <w:t>1977</w:t>
      </w:r>
      <w:r w:rsidRPr="00812ACF">
        <w:rPr>
          <w:rFonts w:cs="FrankRuehl"/>
          <w:sz w:val="20"/>
          <w:szCs w:val="20"/>
          <w:rtl/>
          <w:lang w:eastAsia="en-US"/>
        </w:rPr>
        <w:t xml:space="preserve">, ס"ח </w:t>
      </w:r>
      <w:r w:rsidRPr="00812ACF">
        <w:rPr>
          <w:rFonts w:cs="FrankRuehl"/>
          <w:sz w:val="20"/>
          <w:szCs w:val="20"/>
          <w:lang w:eastAsia="en-US"/>
        </w:rPr>
        <w:t>226</w:t>
      </w:r>
      <w:r w:rsidRPr="00812ACF">
        <w:rPr>
          <w:rFonts w:cs="FrankRuehl"/>
          <w:sz w:val="20"/>
          <w:szCs w:val="20"/>
          <w:rtl/>
          <w:lang w:eastAsia="en-US"/>
        </w:rPr>
        <w:t xml:space="preserve">, סעיפים </w:t>
      </w:r>
      <w:r w:rsidRPr="00812ACF">
        <w:rPr>
          <w:rFonts w:cs="FrankRuehl"/>
          <w:sz w:val="20"/>
          <w:szCs w:val="20"/>
          <w:lang w:eastAsia="en-US"/>
        </w:rPr>
        <w:t>77</w:t>
      </w:r>
      <w:r w:rsidRPr="00812ACF">
        <w:rPr>
          <w:rFonts w:cs="FrankRuehl"/>
          <w:sz w:val="20"/>
          <w:szCs w:val="20"/>
          <w:rtl/>
          <w:lang w:eastAsia="en-US"/>
        </w:rPr>
        <w:t xml:space="preserve">, </w:t>
      </w:r>
      <w:r w:rsidRPr="00812ACF">
        <w:rPr>
          <w:rFonts w:cs="FrankRuehl"/>
          <w:sz w:val="20"/>
          <w:szCs w:val="20"/>
          <w:lang w:eastAsia="en-US"/>
        </w:rPr>
        <w:t>80</w:t>
      </w:r>
      <w:r w:rsidRPr="00812ACF">
        <w:rPr>
          <w:rFonts w:cs="FrankRuehl"/>
          <w:sz w:val="20"/>
          <w:szCs w:val="20"/>
          <w:rtl/>
          <w:lang w:eastAsia="en-US"/>
        </w:rPr>
        <w:t xml:space="preserve">, </w:t>
      </w:r>
      <w:r w:rsidRPr="00812ACF">
        <w:rPr>
          <w:rFonts w:cs="FrankRuehl"/>
          <w:sz w:val="20"/>
          <w:szCs w:val="20"/>
          <w:lang w:eastAsia="en-US"/>
        </w:rPr>
        <w:t>81</w:t>
      </w:r>
      <w:r w:rsidRPr="00812ACF">
        <w:rPr>
          <w:rFonts w:cs="FrankRuehl"/>
          <w:sz w:val="20"/>
          <w:szCs w:val="20"/>
          <w:rtl/>
          <w:lang w:eastAsia="en-US"/>
        </w:rPr>
        <w:t xml:space="preserve">, </w:t>
      </w:r>
      <w:r w:rsidRPr="00812ACF">
        <w:rPr>
          <w:rFonts w:cs="FrankRuehl"/>
          <w:sz w:val="20"/>
          <w:szCs w:val="20"/>
          <w:lang w:eastAsia="en-US"/>
        </w:rPr>
        <w:t>380</w:t>
      </w:r>
      <w:r w:rsidRPr="00812ACF">
        <w:rPr>
          <w:rFonts w:cs="FrankRuehl"/>
          <w:sz w:val="20"/>
          <w:szCs w:val="20"/>
          <w:rtl/>
          <w:lang w:eastAsia="en-US"/>
        </w:rPr>
        <w:t xml:space="preserve">- חוק הפרוצדורה הפלילית </w:t>
      </w:r>
      <w:proofErr w:type="spellStart"/>
      <w:r w:rsidRPr="00812ACF">
        <w:rPr>
          <w:rFonts w:cs="FrankRuehl"/>
          <w:sz w:val="20"/>
          <w:szCs w:val="20"/>
          <w:rtl/>
          <w:lang w:eastAsia="en-US"/>
        </w:rPr>
        <w:t>העותמני</w:t>
      </w:r>
      <w:proofErr w:type="spellEnd"/>
      <w:r w:rsidRPr="00812ACF">
        <w:rPr>
          <w:rFonts w:cs="FrankRuehl"/>
          <w:sz w:val="20"/>
          <w:szCs w:val="20"/>
          <w:rtl/>
          <w:lang w:eastAsia="en-US"/>
        </w:rPr>
        <w:t xml:space="preserve">, סעיפים 1, </w:t>
      </w:r>
      <w:r w:rsidRPr="00812ACF">
        <w:rPr>
          <w:rFonts w:cs="FrankRuehl"/>
          <w:sz w:val="20"/>
          <w:szCs w:val="20"/>
          <w:lang w:eastAsia="en-US"/>
        </w:rPr>
        <w:t>58</w:t>
      </w:r>
      <w:r w:rsidRPr="00812ACF">
        <w:rPr>
          <w:rFonts w:cs="FrankRuehl"/>
          <w:sz w:val="20"/>
          <w:szCs w:val="20"/>
          <w:rtl/>
          <w:lang w:eastAsia="en-US"/>
        </w:rPr>
        <w:t xml:space="preserve">- </w:t>
      </w:r>
      <w:hyperlink r:id="rId9" w:history="1">
        <w:r w:rsidRPr="00812ACF">
          <w:rPr>
            <w:rStyle w:val="Hyperlink"/>
            <w:rFonts w:cs="FrankRuehl"/>
            <w:sz w:val="20"/>
            <w:szCs w:val="20"/>
            <w:rtl/>
            <w:lang w:eastAsia="en-US"/>
          </w:rPr>
          <w:t>פקודת חוק הפרוצדורה</w:t>
        </w:r>
      </w:hyperlink>
      <w:r w:rsidRPr="00812ACF">
        <w:rPr>
          <w:rFonts w:cs="FrankRuehl"/>
          <w:sz w:val="20"/>
          <w:szCs w:val="20"/>
          <w:rtl/>
          <w:lang w:eastAsia="en-US"/>
        </w:rPr>
        <w:t xml:space="preserve"> (תיקון), </w:t>
      </w:r>
      <w:r w:rsidRPr="00812ACF">
        <w:rPr>
          <w:rFonts w:cs="FrankRuehl"/>
          <w:sz w:val="20"/>
          <w:szCs w:val="20"/>
          <w:lang w:eastAsia="en-US"/>
        </w:rPr>
        <w:t>1934</w:t>
      </w:r>
      <w:r w:rsidRPr="00812ACF">
        <w:rPr>
          <w:rFonts w:cs="FrankRuehl"/>
          <w:sz w:val="20"/>
          <w:szCs w:val="20"/>
          <w:rtl/>
          <w:lang w:eastAsia="en-US"/>
        </w:rPr>
        <w:t xml:space="preserve">, </w:t>
      </w:r>
      <w:proofErr w:type="spellStart"/>
      <w:r w:rsidRPr="00812ACF">
        <w:rPr>
          <w:rFonts w:cs="FrankRuehl"/>
          <w:sz w:val="20"/>
          <w:szCs w:val="20"/>
          <w:rtl/>
          <w:lang w:eastAsia="en-US"/>
        </w:rPr>
        <w:t>ע"ר</w:t>
      </w:r>
      <w:proofErr w:type="spellEnd"/>
      <w:r w:rsidRPr="00812ACF">
        <w:rPr>
          <w:rFonts w:cs="FrankRuehl"/>
          <w:sz w:val="20"/>
          <w:szCs w:val="20"/>
          <w:rtl/>
          <w:lang w:eastAsia="en-US"/>
        </w:rPr>
        <w:t xml:space="preserve"> </w:t>
      </w:r>
      <w:proofErr w:type="spellStart"/>
      <w:r w:rsidRPr="00812ACF">
        <w:rPr>
          <w:rFonts w:cs="FrankRuehl"/>
          <w:sz w:val="20"/>
          <w:szCs w:val="20"/>
          <w:rtl/>
          <w:lang w:eastAsia="en-US"/>
        </w:rPr>
        <w:t>תוס</w:t>
      </w:r>
      <w:proofErr w:type="spellEnd"/>
      <w:r w:rsidRPr="00812ACF">
        <w:rPr>
          <w:rFonts w:cs="FrankRuehl"/>
          <w:sz w:val="20"/>
          <w:szCs w:val="20"/>
          <w:rtl/>
          <w:lang w:eastAsia="en-US"/>
        </w:rPr>
        <w:t xml:space="preserve">' 1, (ע) </w:t>
      </w:r>
      <w:r w:rsidRPr="00812ACF">
        <w:rPr>
          <w:rFonts w:cs="FrankRuehl"/>
          <w:sz w:val="20"/>
          <w:szCs w:val="20"/>
          <w:lang w:eastAsia="en-US"/>
        </w:rPr>
        <w:t>177</w:t>
      </w:r>
      <w:r w:rsidRPr="00812ACF">
        <w:rPr>
          <w:rFonts w:cs="FrankRuehl"/>
          <w:sz w:val="20"/>
          <w:szCs w:val="20"/>
          <w:rtl/>
          <w:lang w:eastAsia="en-US"/>
        </w:rPr>
        <w:t xml:space="preserve">, (א) </w:t>
      </w:r>
      <w:r w:rsidRPr="00812ACF">
        <w:rPr>
          <w:rFonts w:cs="FrankRuehl"/>
          <w:sz w:val="20"/>
          <w:szCs w:val="20"/>
          <w:lang w:eastAsia="en-US"/>
        </w:rPr>
        <w:t>179</w:t>
      </w:r>
      <w:r w:rsidRPr="00812ACF">
        <w:rPr>
          <w:rFonts w:cs="FrankRuehl"/>
          <w:sz w:val="20"/>
          <w:szCs w:val="20"/>
          <w:rtl/>
          <w:lang w:eastAsia="en-US"/>
        </w:rPr>
        <w:t xml:space="preserve">, סעיף 3(ג) - פקודת שיפוט בתי משפט השלום, </w:t>
      </w:r>
      <w:r w:rsidRPr="00812ACF">
        <w:rPr>
          <w:rFonts w:cs="FrankRuehl"/>
          <w:sz w:val="20"/>
          <w:szCs w:val="20"/>
          <w:lang w:eastAsia="en-US"/>
        </w:rPr>
        <w:t>1947</w:t>
      </w:r>
      <w:r w:rsidRPr="00812ACF">
        <w:rPr>
          <w:rFonts w:cs="FrankRuehl"/>
          <w:sz w:val="20"/>
          <w:szCs w:val="20"/>
          <w:rtl/>
          <w:lang w:eastAsia="en-US"/>
        </w:rPr>
        <w:t xml:space="preserve">, </w:t>
      </w:r>
      <w:proofErr w:type="spellStart"/>
      <w:r w:rsidRPr="00812ACF">
        <w:rPr>
          <w:rFonts w:cs="FrankRuehl"/>
          <w:sz w:val="20"/>
          <w:szCs w:val="20"/>
          <w:rtl/>
          <w:lang w:eastAsia="en-US"/>
        </w:rPr>
        <w:t>ע"ר</w:t>
      </w:r>
      <w:proofErr w:type="spellEnd"/>
      <w:r w:rsidRPr="00812ACF">
        <w:rPr>
          <w:rFonts w:cs="FrankRuehl"/>
          <w:sz w:val="20"/>
          <w:szCs w:val="20"/>
          <w:rtl/>
          <w:lang w:eastAsia="en-US"/>
        </w:rPr>
        <w:t xml:space="preserve"> </w:t>
      </w:r>
      <w:proofErr w:type="spellStart"/>
      <w:r w:rsidRPr="00812ACF">
        <w:rPr>
          <w:rFonts w:cs="FrankRuehl"/>
          <w:sz w:val="20"/>
          <w:szCs w:val="20"/>
          <w:rtl/>
          <w:lang w:eastAsia="en-US"/>
        </w:rPr>
        <w:t>תוס</w:t>
      </w:r>
      <w:proofErr w:type="spellEnd"/>
      <w:r w:rsidRPr="00812ACF">
        <w:rPr>
          <w:rFonts w:cs="FrankRuehl"/>
          <w:sz w:val="20"/>
          <w:szCs w:val="20"/>
          <w:rtl/>
          <w:lang w:eastAsia="en-US"/>
        </w:rPr>
        <w:t xml:space="preserve">' 1, (ע) </w:t>
      </w:r>
      <w:r w:rsidRPr="00812ACF">
        <w:rPr>
          <w:rFonts w:cs="FrankRuehl"/>
          <w:sz w:val="20"/>
          <w:szCs w:val="20"/>
          <w:lang w:eastAsia="en-US"/>
        </w:rPr>
        <w:t>224</w:t>
      </w:r>
      <w:r w:rsidRPr="00812ACF">
        <w:rPr>
          <w:rFonts w:cs="FrankRuehl"/>
          <w:sz w:val="20"/>
          <w:szCs w:val="20"/>
          <w:rtl/>
          <w:lang w:eastAsia="en-US"/>
        </w:rPr>
        <w:t xml:space="preserve">, (א) </w:t>
      </w:r>
      <w:r w:rsidRPr="00812ACF">
        <w:rPr>
          <w:rFonts w:cs="FrankRuehl"/>
          <w:sz w:val="20"/>
          <w:szCs w:val="20"/>
          <w:lang w:eastAsia="en-US"/>
        </w:rPr>
        <w:t>277</w:t>
      </w:r>
      <w:r w:rsidRPr="00812ACF">
        <w:rPr>
          <w:rFonts w:cs="FrankRuehl"/>
          <w:sz w:val="20"/>
          <w:szCs w:val="20"/>
          <w:rtl/>
          <w:lang w:eastAsia="en-US"/>
        </w:rPr>
        <w:t xml:space="preserve">, סעיפים </w:t>
      </w:r>
      <w:r w:rsidRPr="00812ACF">
        <w:rPr>
          <w:rFonts w:cs="FrankRuehl"/>
          <w:sz w:val="20"/>
          <w:szCs w:val="20"/>
          <w:lang w:eastAsia="en-US"/>
        </w:rPr>
        <w:t>19</w:t>
      </w:r>
      <w:r w:rsidRPr="00812ACF">
        <w:rPr>
          <w:rFonts w:cs="FrankRuehl"/>
          <w:sz w:val="20"/>
          <w:szCs w:val="20"/>
          <w:rtl/>
          <w:lang w:eastAsia="en-US"/>
        </w:rPr>
        <w:t xml:space="preserve">, </w:t>
      </w:r>
      <w:r w:rsidRPr="00812ACF">
        <w:rPr>
          <w:rFonts w:cs="FrankRuehl"/>
          <w:sz w:val="20"/>
          <w:szCs w:val="20"/>
          <w:lang w:eastAsia="en-US"/>
        </w:rPr>
        <w:t>19</w:t>
      </w:r>
      <w:r w:rsidRPr="00812ACF">
        <w:rPr>
          <w:rFonts w:cs="FrankRuehl"/>
          <w:sz w:val="20"/>
          <w:szCs w:val="20"/>
          <w:rtl/>
          <w:lang w:eastAsia="en-US"/>
        </w:rPr>
        <w:t xml:space="preserve">(1), </w:t>
      </w:r>
      <w:r w:rsidRPr="00812ACF">
        <w:rPr>
          <w:rFonts w:cs="FrankRuehl"/>
          <w:sz w:val="20"/>
          <w:szCs w:val="20"/>
          <w:lang w:eastAsia="en-US"/>
        </w:rPr>
        <w:t>22</w:t>
      </w:r>
      <w:r w:rsidRPr="00812ACF">
        <w:rPr>
          <w:rFonts w:cs="FrankRuehl"/>
          <w:sz w:val="20"/>
          <w:szCs w:val="20"/>
          <w:rtl/>
          <w:lang w:eastAsia="en-US"/>
        </w:rPr>
        <w:t>- חוק לתיקון פקודת שיפוט בתי משפט השלום (מס' 2), תשי"ד-</w:t>
      </w:r>
      <w:r w:rsidRPr="00812ACF">
        <w:rPr>
          <w:rFonts w:cs="FrankRuehl"/>
          <w:sz w:val="20"/>
          <w:szCs w:val="20"/>
          <w:lang w:eastAsia="en-US"/>
        </w:rPr>
        <w:t>1954</w:t>
      </w:r>
      <w:r w:rsidRPr="00812ACF">
        <w:rPr>
          <w:rFonts w:cs="FrankRuehl"/>
          <w:sz w:val="20"/>
          <w:szCs w:val="20"/>
          <w:rtl/>
          <w:lang w:eastAsia="en-US"/>
        </w:rPr>
        <w:t xml:space="preserve">, ס"ח </w:t>
      </w:r>
      <w:r w:rsidRPr="00812ACF">
        <w:rPr>
          <w:rFonts w:cs="FrankRuehl"/>
          <w:sz w:val="20"/>
          <w:szCs w:val="20"/>
          <w:lang w:eastAsia="en-US"/>
        </w:rPr>
        <w:t>216</w:t>
      </w:r>
      <w:r w:rsidRPr="00812ACF">
        <w:rPr>
          <w:rFonts w:cs="FrankRuehl"/>
          <w:sz w:val="20"/>
          <w:szCs w:val="20"/>
          <w:rtl/>
          <w:lang w:eastAsia="en-US"/>
        </w:rPr>
        <w:t xml:space="preserve">- תקנות הפרוצדורה בבתי משפט השלום, </w:t>
      </w:r>
      <w:r w:rsidRPr="00812ACF">
        <w:rPr>
          <w:rFonts w:cs="FrankRuehl"/>
          <w:sz w:val="20"/>
          <w:szCs w:val="20"/>
          <w:lang w:eastAsia="en-US"/>
        </w:rPr>
        <w:t>1940</w:t>
      </w:r>
      <w:r w:rsidRPr="00812ACF">
        <w:rPr>
          <w:rFonts w:cs="FrankRuehl"/>
          <w:sz w:val="20"/>
          <w:szCs w:val="20"/>
          <w:rtl/>
          <w:lang w:eastAsia="en-US"/>
        </w:rPr>
        <w:t xml:space="preserve">, </w:t>
      </w:r>
      <w:proofErr w:type="spellStart"/>
      <w:r w:rsidRPr="00812ACF">
        <w:rPr>
          <w:rFonts w:cs="FrankRuehl"/>
          <w:sz w:val="20"/>
          <w:szCs w:val="20"/>
          <w:rtl/>
          <w:lang w:eastAsia="en-US"/>
        </w:rPr>
        <w:t>ע"ר</w:t>
      </w:r>
      <w:proofErr w:type="spellEnd"/>
      <w:r w:rsidRPr="00812ACF">
        <w:rPr>
          <w:rFonts w:cs="FrankRuehl"/>
          <w:sz w:val="20"/>
          <w:szCs w:val="20"/>
          <w:rtl/>
          <w:lang w:eastAsia="en-US"/>
        </w:rPr>
        <w:t xml:space="preserve"> </w:t>
      </w:r>
      <w:proofErr w:type="spellStart"/>
      <w:r w:rsidRPr="00812ACF">
        <w:rPr>
          <w:rFonts w:cs="FrankRuehl"/>
          <w:sz w:val="20"/>
          <w:szCs w:val="20"/>
          <w:rtl/>
          <w:lang w:eastAsia="en-US"/>
        </w:rPr>
        <w:t>תוס</w:t>
      </w:r>
      <w:proofErr w:type="spellEnd"/>
      <w:r w:rsidRPr="00812ACF">
        <w:rPr>
          <w:rFonts w:cs="FrankRuehl"/>
          <w:sz w:val="20"/>
          <w:szCs w:val="20"/>
          <w:rtl/>
          <w:lang w:eastAsia="en-US"/>
        </w:rPr>
        <w:t xml:space="preserve">' 2, (ע) </w:t>
      </w:r>
      <w:r w:rsidRPr="00812ACF">
        <w:rPr>
          <w:rFonts w:cs="FrankRuehl"/>
          <w:sz w:val="20"/>
          <w:szCs w:val="20"/>
          <w:lang w:eastAsia="en-US"/>
        </w:rPr>
        <w:t>29</w:t>
      </w:r>
      <w:r w:rsidRPr="00812ACF">
        <w:rPr>
          <w:rFonts w:cs="FrankRuehl"/>
          <w:sz w:val="20"/>
          <w:szCs w:val="20"/>
          <w:rtl/>
          <w:lang w:eastAsia="en-US"/>
        </w:rPr>
        <w:t xml:space="preserve">, (א) </w:t>
      </w:r>
      <w:r w:rsidRPr="00812ACF">
        <w:rPr>
          <w:rFonts w:cs="FrankRuehl"/>
          <w:sz w:val="20"/>
          <w:szCs w:val="20"/>
          <w:lang w:eastAsia="en-US"/>
        </w:rPr>
        <w:t>35</w:t>
      </w:r>
      <w:r w:rsidRPr="00812ACF">
        <w:rPr>
          <w:rFonts w:cs="FrankRuehl"/>
          <w:sz w:val="20"/>
          <w:szCs w:val="20"/>
          <w:rtl/>
          <w:lang w:eastAsia="en-US"/>
        </w:rPr>
        <w:t xml:space="preserve">, תקנה </w:t>
      </w:r>
      <w:r w:rsidRPr="00812ACF">
        <w:rPr>
          <w:rFonts w:cs="FrankRuehl"/>
          <w:sz w:val="20"/>
          <w:szCs w:val="20"/>
          <w:lang w:eastAsia="en-US"/>
        </w:rPr>
        <w:t>242</w:t>
      </w:r>
      <w:r w:rsidRPr="00812ACF">
        <w:rPr>
          <w:rFonts w:cs="FrankRuehl"/>
          <w:sz w:val="20"/>
          <w:szCs w:val="20"/>
          <w:rtl/>
          <w:lang w:eastAsia="en-US"/>
        </w:rPr>
        <w:t>-</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hyperlink r:id="rId10" w:history="1">
        <w:r w:rsidRPr="00812ACF">
          <w:rPr>
            <w:rStyle w:val="Hyperlink"/>
            <w:rFonts w:cs="FrankRuehl"/>
            <w:sz w:val="20"/>
            <w:szCs w:val="20"/>
            <w:rtl/>
            <w:lang w:eastAsia="en-US"/>
          </w:rPr>
          <w:t>פקודת הפרוצדורה הפלילית</w:t>
        </w:r>
      </w:hyperlink>
      <w:r w:rsidRPr="00812ACF">
        <w:rPr>
          <w:rFonts w:cs="FrankRuehl"/>
          <w:sz w:val="20"/>
          <w:szCs w:val="20"/>
          <w:rtl/>
          <w:lang w:eastAsia="en-US"/>
        </w:rPr>
        <w:t xml:space="preserve"> (שפיטה עפ"י כתב האשמה)</w:t>
      </w:r>
      <w:r w:rsidRPr="00812ACF">
        <w:rPr>
          <w:rFonts w:cs="FrankRuehl"/>
          <w:sz w:val="20"/>
          <w:szCs w:val="20"/>
          <w:lang w:eastAsia="en-US"/>
        </w:rPr>
        <w:t xml:space="preserve">, </w:t>
      </w:r>
      <w:proofErr w:type="spellStart"/>
      <w:r w:rsidRPr="00812ACF">
        <w:rPr>
          <w:rFonts w:cs="FrankRuehl"/>
          <w:sz w:val="20"/>
          <w:szCs w:val="20"/>
          <w:rtl/>
          <w:lang w:eastAsia="en-US"/>
        </w:rPr>
        <w:t>חא"י</w:t>
      </w:r>
      <w:proofErr w:type="spellEnd"/>
      <w:r w:rsidRPr="00812ACF">
        <w:rPr>
          <w:rFonts w:cs="FrankRuehl"/>
          <w:sz w:val="20"/>
          <w:szCs w:val="20"/>
          <w:rtl/>
          <w:lang w:eastAsia="en-US"/>
        </w:rPr>
        <w:t xml:space="preserve"> כרך א,(ע) </w:t>
      </w:r>
      <w:r w:rsidRPr="00812ACF">
        <w:rPr>
          <w:rFonts w:cs="FrankRuehl"/>
          <w:sz w:val="20"/>
          <w:szCs w:val="20"/>
          <w:lang w:eastAsia="en-US"/>
        </w:rPr>
        <w:t>446</w:t>
      </w:r>
      <w:r w:rsidRPr="00812ACF">
        <w:rPr>
          <w:rFonts w:cs="FrankRuehl"/>
          <w:sz w:val="20"/>
          <w:szCs w:val="20"/>
          <w:rtl/>
          <w:lang w:eastAsia="en-US"/>
        </w:rPr>
        <w:t xml:space="preserve">, (א) </w:t>
      </w:r>
      <w:r w:rsidRPr="00812ACF">
        <w:rPr>
          <w:rFonts w:cs="FrankRuehl"/>
          <w:sz w:val="20"/>
          <w:szCs w:val="20"/>
          <w:lang w:eastAsia="en-US"/>
        </w:rPr>
        <w:t>475</w:t>
      </w:r>
      <w:r w:rsidRPr="00812ACF">
        <w:rPr>
          <w:rFonts w:cs="FrankRuehl"/>
          <w:sz w:val="20"/>
          <w:szCs w:val="20"/>
          <w:rtl/>
          <w:lang w:eastAsia="en-US"/>
        </w:rPr>
        <w:t xml:space="preserve">, סעיף </w:t>
      </w:r>
      <w:r w:rsidRPr="00812ACF">
        <w:rPr>
          <w:rFonts w:cs="FrankRuehl"/>
          <w:sz w:val="20"/>
          <w:szCs w:val="20"/>
          <w:lang w:eastAsia="en-US"/>
        </w:rPr>
        <w:t>5</w:t>
      </w:r>
      <w:r w:rsidRPr="00812ACF">
        <w:rPr>
          <w:rFonts w:cs="FrankRuehl"/>
          <w:sz w:val="20"/>
          <w:szCs w:val="20"/>
          <w:rtl/>
          <w:lang w:eastAsia="en-US"/>
        </w:rPr>
        <w:t xml:space="preserve">- </w:t>
      </w:r>
      <w:hyperlink r:id="rId11" w:history="1">
        <w:r w:rsidRPr="00812ACF">
          <w:rPr>
            <w:rStyle w:val="Hyperlink"/>
            <w:rFonts w:cs="FrankRuehl"/>
            <w:sz w:val="20"/>
            <w:szCs w:val="20"/>
            <w:rtl/>
            <w:lang w:eastAsia="en-US"/>
          </w:rPr>
          <w:t>חוק איסור לשון הרע</w:t>
        </w:r>
      </w:hyperlink>
      <w:r w:rsidRPr="00812ACF">
        <w:rPr>
          <w:rFonts w:cs="FrankRuehl"/>
          <w:sz w:val="20"/>
          <w:szCs w:val="20"/>
          <w:rtl/>
          <w:lang w:eastAsia="en-US"/>
        </w:rPr>
        <w:t>, תשכ"ה-</w:t>
      </w:r>
      <w:r w:rsidRPr="00812ACF">
        <w:rPr>
          <w:rFonts w:cs="FrankRuehl"/>
          <w:sz w:val="20"/>
          <w:szCs w:val="20"/>
          <w:lang w:eastAsia="en-US"/>
        </w:rPr>
        <w:t>1965</w:t>
      </w:r>
      <w:r w:rsidRPr="00812ACF">
        <w:rPr>
          <w:rFonts w:cs="FrankRuehl"/>
          <w:sz w:val="20"/>
          <w:szCs w:val="20"/>
          <w:rtl/>
          <w:lang w:eastAsia="en-US"/>
        </w:rPr>
        <w:t xml:space="preserve">, ס"ח </w:t>
      </w:r>
      <w:r w:rsidRPr="00812ACF">
        <w:rPr>
          <w:rFonts w:cs="FrankRuehl"/>
          <w:sz w:val="20"/>
          <w:szCs w:val="20"/>
          <w:lang w:eastAsia="en-US"/>
        </w:rPr>
        <w:t>240</w:t>
      </w:r>
      <w:r w:rsidRPr="00812ACF">
        <w:rPr>
          <w:rFonts w:cs="FrankRuehl"/>
          <w:sz w:val="20"/>
          <w:szCs w:val="20"/>
          <w:rtl/>
          <w:lang w:eastAsia="en-US"/>
        </w:rPr>
        <w:t xml:space="preserve">, סעיף </w:t>
      </w:r>
      <w:r w:rsidRPr="00812ACF">
        <w:rPr>
          <w:rFonts w:cs="FrankRuehl"/>
          <w:sz w:val="20"/>
          <w:szCs w:val="20"/>
          <w:lang w:eastAsia="en-US"/>
        </w:rPr>
        <w:t>8</w:t>
      </w:r>
      <w:r w:rsidRPr="00812ACF">
        <w:rPr>
          <w:rFonts w:cs="FrankRuehl"/>
          <w:sz w:val="20"/>
          <w:szCs w:val="20"/>
          <w:lang w:eastAsia="en-US"/>
        </w:rPr>
        <w:softHyphen/>
      </w:r>
      <w:hyperlink r:id="rId12" w:history="1">
        <w:r w:rsidRPr="00812ACF">
          <w:rPr>
            <w:rStyle w:val="Hyperlink"/>
            <w:rFonts w:cs="FrankRuehl"/>
            <w:sz w:val="20"/>
            <w:szCs w:val="20"/>
            <w:rtl/>
            <w:lang w:eastAsia="en-US"/>
          </w:rPr>
          <w:t>חוק הבחירות</w:t>
        </w:r>
      </w:hyperlink>
      <w:r w:rsidRPr="00812ACF">
        <w:rPr>
          <w:rFonts w:cs="FrankRuehl"/>
          <w:sz w:val="20"/>
          <w:szCs w:val="20"/>
          <w:rtl/>
          <w:lang w:eastAsia="en-US"/>
        </w:rPr>
        <w:t xml:space="preserve"> (דרכי תעמולה), תשי"ט-</w:t>
      </w:r>
      <w:r w:rsidRPr="00812ACF">
        <w:rPr>
          <w:rFonts w:cs="FrankRuehl"/>
          <w:sz w:val="20"/>
          <w:szCs w:val="20"/>
          <w:lang w:eastAsia="en-US"/>
        </w:rPr>
        <w:t>1969</w:t>
      </w:r>
      <w:r w:rsidRPr="00812ACF">
        <w:rPr>
          <w:rFonts w:cs="FrankRuehl"/>
          <w:sz w:val="20"/>
          <w:szCs w:val="20"/>
          <w:rtl/>
          <w:lang w:eastAsia="en-US"/>
        </w:rPr>
        <w:t xml:space="preserve">, ס"ח </w:t>
      </w:r>
      <w:r w:rsidRPr="00812ACF">
        <w:rPr>
          <w:rFonts w:cs="FrankRuehl"/>
          <w:sz w:val="20"/>
          <w:szCs w:val="20"/>
          <w:lang w:eastAsia="en-US"/>
        </w:rPr>
        <w:t>138</w:t>
      </w:r>
      <w:r w:rsidRPr="00812ACF">
        <w:rPr>
          <w:rFonts w:cs="FrankRuehl"/>
          <w:sz w:val="20"/>
          <w:szCs w:val="20"/>
          <w:rtl/>
          <w:lang w:eastAsia="en-US"/>
        </w:rPr>
        <w:t xml:space="preserve">, סעיפים </w:t>
      </w:r>
      <w:r w:rsidRPr="00812ACF">
        <w:rPr>
          <w:rFonts w:cs="FrankRuehl"/>
          <w:sz w:val="20"/>
          <w:szCs w:val="20"/>
          <w:lang w:eastAsia="en-US"/>
        </w:rPr>
        <w:t>18</w:t>
      </w:r>
      <w:r w:rsidRPr="00812ACF">
        <w:rPr>
          <w:rFonts w:cs="FrankRuehl"/>
          <w:sz w:val="20"/>
          <w:szCs w:val="20"/>
          <w:rtl/>
          <w:lang w:eastAsia="en-US"/>
        </w:rPr>
        <w:t xml:space="preserve">, </w:t>
      </w:r>
      <w:r w:rsidRPr="00812ACF">
        <w:rPr>
          <w:rFonts w:cs="FrankRuehl"/>
          <w:sz w:val="20"/>
          <w:szCs w:val="20"/>
          <w:lang w:eastAsia="en-US"/>
        </w:rPr>
        <w:t>19-</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rtl/>
          <w:lang w:eastAsia="en-US"/>
        </w:rPr>
      </w:pPr>
      <w:hyperlink r:id="rId13" w:history="1">
        <w:r w:rsidRPr="00812ACF">
          <w:rPr>
            <w:rStyle w:val="Hyperlink"/>
            <w:rFonts w:cs="FrankRuehl"/>
            <w:sz w:val="20"/>
            <w:szCs w:val="20"/>
            <w:rtl/>
            <w:lang w:eastAsia="en-US"/>
          </w:rPr>
          <w:t xml:space="preserve">חוק שמירת </w:t>
        </w:r>
        <w:proofErr w:type="spellStart"/>
        <w:r w:rsidRPr="00812ACF">
          <w:rPr>
            <w:rStyle w:val="Hyperlink"/>
            <w:rFonts w:cs="FrankRuehl"/>
            <w:sz w:val="20"/>
            <w:szCs w:val="20"/>
            <w:rtl/>
            <w:lang w:eastAsia="en-US"/>
          </w:rPr>
          <w:t>הנקיון</w:t>
        </w:r>
        <w:proofErr w:type="spellEnd"/>
      </w:hyperlink>
      <w:r w:rsidRPr="00812ACF">
        <w:rPr>
          <w:rFonts w:cs="FrankRuehl"/>
          <w:sz w:val="20"/>
          <w:szCs w:val="20"/>
          <w:rtl/>
          <w:lang w:eastAsia="en-US"/>
        </w:rPr>
        <w:t>, תשמ"ד-</w:t>
      </w:r>
      <w:r w:rsidRPr="00812ACF">
        <w:rPr>
          <w:rFonts w:cs="FrankRuehl"/>
          <w:sz w:val="20"/>
          <w:szCs w:val="20"/>
          <w:lang w:eastAsia="en-US"/>
        </w:rPr>
        <w:t>1984</w:t>
      </w:r>
      <w:r w:rsidRPr="00812ACF">
        <w:rPr>
          <w:rFonts w:cs="FrankRuehl"/>
          <w:sz w:val="20"/>
          <w:szCs w:val="20"/>
          <w:rtl/>
          <w:lang w:eastAsia="en-US"/>
        </w:rPr>
        <w:t xml:space="preserve">, ס"ח </w:t>
      </w:r>
      <w:r w:rsidRPr="00812ACF">
        <w:rPr>
          <w:rFonts w:cs="FrankRuehl"/>
          <w:sz w:val="20"/>
          <w:szCs w:val="20"/>
          <w:lang w:eastAsia="en-US"/>
        </w:rPr>
        <w:t>142</w:t>
      </w:r>
      <w:r w:rsidRPr="00812ACF">
        <w:rPr>
          <w:rFonts w:cs="FrankRuehl"/>
          <w:sz w:val="20"/>
          <w:szCs w:val="20"/>
          <w:rtl/>
          <w:lang w:eastAsia="en-US"/>
        </w:rPr>
        <w:t xml:space="preserve">, סעיף </w:t>
      </w:r>
      <w:r w:rsidRPr="00812ACF">
        <w:rPr>
          <w:rFonts w:cs="FrankRuehl"/>
          <w:sz w:val="20"/>
          <w:szCs w:val="20"/>
          <w:lang w:eastAsia="en-US"/>
        </w:rPr>
        <w:t>21</w:t>
      </w:r>
      <w:r w:rsidRPr="00812ACF">
        <w:rPr>
          <w:rFonts w:cs="FrankRuehl"/>
          <w:sz w:val="20"/>
          <w:szCs w:val="20"/>
          <w:rtl/>
          <w:lang w:eastAsia="en-US"/>
        </w:rPr>
        <w:t xml:space="preserve">- </w:t>
      </w:r>
      <w:hyperlink r:id="rId14" w:history="1">
        <w:r w:rsidRPr="00812ACF">
          <w:rPr>
            <w:rStyle w:val="Hyperlink"/>
            <w:rFonts w:cs="FrankRuehl"/>
            <w:sz w:val="20"/>
            <w:szCs w:val="20"/>
            <w:rtl/>
            <w:lang w:eastAsia="en-US"/>
          </w:rPr>
          <w:t>חוק המים</w:t>
        </w:r>
      </w:hyperlink>
      <w:r w:rsidRPr="00812ACF">
        <w:rPr>
          <w:rFonts w:cs="FrankRuehl"/>
          <w:sz w:val="20"/>
          <w:szCs w:val="20"/>
          <w:rtl/>
          <w:lang w:eastAsia="en-US"/>
        </w:rPr>
        <w:t>, תשי"ט-</w:t>
      </w:r>
      <w:r w:rsidRPr="00812ACF">
        <w:rPr>
          <w:rFonts w:cs="FrankRuehl"/>
          <w:sz w:val="20"/>
          <w:szCs w:val="20"/>
          <w:lang w:eastAsia="en-US"/>
        </w:rPr>
        <w:t>1959</w:t>
      </w:r>
      <w:r w:rsidRPr="00812ACF">
        <w:rPr>
          <w:rFonts w:cs="FrankRuehl"/>
          <w:sz w:val="20"/>
          <w:szCs w:val="20"/>
          <w:rtl/>
          <w:lang w:eastAsia="en-US"/>
        </w:rPr>
        <w:t xml:space="preserve">, ס"ח </w:t>
      </w:r>
      <w:r w:rsidRPr="00812ACF">
        <w:rPr>
          <w:rFonts w:cs="FrankRuehl"/>
          <w:sz w:val="20"/>
          <w:szCs w:val="20"/>
          <w:lang w:eastAsia="en-US"/>
        </w:rPr>
        <w:t>169</w:t>
      </w:r>
      <w:r w:rsidRPr="00812ACF">
        <w:rPr>
          <w:rFonts w:cs="FrankRuehl"/>
          <w:sz w:val="20"/>
          <w:szCs w:val="20"/>
          <w:rtl/>
          <w:lang w:eastAsia="en-US"/>
        </w:rPr>
        <w:t xml:space="preserve">, סעיף </w:t>
      </w:r>
      <w:r w:rsidRPr="00812ACF">
        <w:rPr>
          <w:rFonts w:cs="FrankRuehl"/>
          <w:sz w:val="20"/>
          <w:szCs w:val="20"/>
          <w:lang w:eastAsia="en-US"/>
        </w:rPr>
        <w:t>20</w:t>
      </w:r>
      <w:r w:rsidRPr="00812ACF">
        <w:rPr>
          <w:rFonts w:cs="FrankRuehl"/>
          <w:sz w:val="20"/>
          <w:szCs w:val="20"/>
          <w:rtl/>
          <w:lang w:eastAsia="en-US"/>
        </w:rPr>
        <w:t>כה, סימן א</w:t>
      </w:r>
      <w:r w:rsidRPr="00812ACF">
        <w:rPr>
          <w:rFonts w:cs="FrankRuehl"/>
          <w:sz w:val="20"/>
          <w:szCs w:val="20"/>
          <w:lang w:eastAsia="en-US"/>
        </w:rPr>
        <w:t xml:space="preserve"> 1</w:t>
      </w:r>
      <w:r w:rsidRPr="00812ACF">
        <w:rPr>
          <w:rFonts w:cs="FrankRuehl"/>
          <w:sz w:val="20"/>
          <w:szCs w:val="20"/>
          <w:rtl/>
          <w:lang w:eastAsia="en-US"/>
        </w:rPr>
        <w:t>- חוק המים (תיקון מס' 7), תשנ"א-</w:t>
      </w:r>
      <w:r w:rsidRPr="00812ACF">
        <w:rPr>
          <w:rFonts w:cs="FrankRuehl"/>
          <w:sz w:val="20"/>
          <w:szCs w:val="20"/>
          <w:lang w:eastAsia="en-US"/>
        </w:rPr>
        <w:t>1991</w:t>
      </w:r>
      <w:r w:rsidRPr="00812ACF">
        <w:rPr>
          <w:rFonts w:cs="FrankRuehl"/>
          <w:sz w:val="20"/>
          <w:szCs w:val="20"/>
          <w:rtl/>
          <w:lang w:eastAsia="en-US"/>
        </w:rPr>
        <w:t xml:space="preserve">, ס"ח </w:t>
      </w:r>
      <w:r w:rsidRPr="00812ACF">
        <w:rPr>
          <w:rFonts w:cs="FrankRuehl"/>
          <w:sz w:val="20"/>
          <w:szCs w:val="20"/>
          <w:lang w:eastAsia="en-US"/>
        </w:rPr>
        <w:t>180</w:t>
      </w:r>
      <w:r w:rsidRPr="00812ACF">
        <w:rPr>
          <w:rFonts w:cs="FrankRuehl"/>
          <w:sz w:val="20"/>
          <w:szCs w:val="20"/>
          <w:rtl/>
          <w:lang w:eastAsia="en-US"/>
        </w:rPr>
        <w:t xml:space="preserve">- </w:t>
      </w:r>
      <w:hyperlink r:id="rId15" w:history="1">
        <w:r w:rsidRPr="00812ACF">
          <w:rPr>
            <w:rStyle w:val="Hyperlink"/>
            <w:rFonts w:cs="FrankRuehl"/>
            <w:sz w:val="20"/>
            <w:szCs w:val="20"/>
            <w:rtl/>
            <w:lang w:eastAsia="en-US"/>
          </w:rPr>
          <w:t>חוק מניעת זיהום הים ממקורות יבשתיים</w:t>
        </w:r>
      </w:hyperlink>
      <w:r w:rsidRPr="00812ACF">
        <w:rPr>
          <w:rFonts w:cs="FrankRuehl"/>
          <w:sz w:val="20"/>
          <w:szCs w:val="20"/>
          <w:rtl/>
          <w:lang w:eastAsia="en-US"/>
        </w:rPr>
        <w:t>, תשמ"ח-</w:t>
      </w:r>
      <w:r w:rsidRPr="00812ACF">
        <w:rPr>
          <w:rFonts w:cs="FrankRuehl"/>
          <w:sz w:val="20"/>
          <w:szCs w:val="20"/>
          <w:lang w:eastAsia="en-US"/>
        </w:rPr>
        <w:t>1988</w:t>
      </w:r>
      <w:r w:rsidRPr="00812ACF">
        <w:rPr>
          <w:rFonts w:cs="FrankRuehl"/>
          <w:sz w:val="20"/>
          <w:szCs w:val="20"/>
          <w:rtl/>
          <w:lang w:eastAsia="en-US"/>
        </w:rPr>
        <w:t xml:space="preserve">, ס"ח </w:t>
      </w:r>
      <w:r w:rsidRPr="00812ACF">
        <w:rPr>
          <w:rFonts w:cs="FrankRuehl"/>
          <w:sz w:val="20"/>
          <w:szCs w:val="20"/>
          <w:lang w:eastAsia="en-US"/>
        </w:rPr>
        <w:t>118</w:t>
      </w:r>
      <w:r w:rsidRPr="00812ACF">
        <w:rPr>
          <w:rFonts w:cs="FrankRuehl"/>
          <w:sz w:val="20"/>
          <w:szCs w:val="20"/>
          <w:rtl/>
          <w:lang w:eastAsia="en-US"/>
        </w:rPr>
        <w:t xml:space="preserve">, סעיף </w:t>
      </w:r>
      <w:r w:rsidRPr="00812ACF">
        <w:rPr>
          <w:rFonts w:cs="FrankRuehl"/>
          <w:sz w:val="20"/>
          <w:szCs w:val="20"/>
          <w:lang w:eastAsia="en-US"/>
        </w:rPr>
        <w:t>8</w:t>
      </w:r>
      <w:r w:rsidRPr="00812ACF">
        <w:rPr>
          <w:rFonts w:cs="FrankRuehl"/>
          <w:sz w:val="20"/>
          <w:szCs w:val="20"/>
          <w:rtl/>
          <w:lang w:eastAsia="en-US"/>
        </w:rPr>
        <w:t xml:space="preserve">- </w:t>
      </w:r>
      <w:hyperlink r:id="rId16" w:history="1">
        <w:r w:rsidRPr="00812ACF">
          <w:rPr>
            <w:rStyle w:val="Hyperlink"/>
            <w:rFonts w:cs="FrankRuehl"/>
            <w:sz w:val="20"/>
            <w:szCs w:val="20"/>
            <w:rtl/>
            <w:lang w:eastAsia="en-US"/>
          </w:rPr>
          <w:t xml:space="preserve">חוק הנוער (שפיטה, ענישה </w:t>
        </w:r>
        <w:r w:rsidRPr="00812ACF">
          <w:rPr>
            <w:rStyle w:val="Hyperlink"/>
            <w:rFonts w:cs="FrankRuehl"/>
            <w:sz w:val="20"/>
            <w:szCs w:val="20"/>
            <w:rtl/>
            <w:lang w:eastAsia="en-US"/>
          </w:rPr>
          <w:cr/>
          <w:t>ודרכי טיפול)</w:t>
        </w:r>
      </w:hyperlink>
      <w:r w:rsidRPr="00812ACF">
        <w:rPr>
          <w:rFonts w:cs="FrankRuehl"/>
          <w:sz w:val="20"/>
          <w:szCs w:val="20"/>
          <w:rtl/>
          <w:lang w:eastAsia="en-US"/>
        </w:rPr>
        <w:t>, תשל"א-</w:t>
      </w:r>
      <w:r w:rsidRPr="00812ACF">
        <w:rPr>
          <w:rFonts w:cs="FrankRuehl"/>
          <w:sz w:val="20"/>
          <w:szCs w:val="20"/>
          <w:lang w:eastAsia="en-US"/>
        </w:rPr>
        <w:t>1971</w:t>
      </w:r>
      <w:r w:rsidRPr="00812ACF">
        <w:rPr>
          <w:rFonts w:cs="FrankRuehl"/>
          <w:sz w:val="20"/>
          <w:szCs w:val="20"/>
          <w:rtl/>
          <w:lang w:eastAsia="en-US"/>
        </w:rPr>
        <w:t xml:space="preserve">, ס"ח </w:t>
      </w:r>
      <w:r w:rsidRPr="00812ACF">
        <w:rPr>
          <w:rFonts w:cs="FrankRuehl"/>
          <w:sz w:val="20"/>
          <w:szCs w:val="20"/>
          <w:lang w:eastAsia="en-US"/>
        </w:rPr>
        <w:t>134</w:t>
      </w:r>
      <w:r w:rsidRPr="00812ACF">
        <w:rPr>
          <w:rFonts w:cs="FrankRuehl"/>
          <w:sz w:val="20"/>
          <w:szCs w:val="20"/>
          <w:rtl/>
          <w:lang w:eastAsia="en-US"/>
        </w:rPr>
        <w:t xml:space="preserve">- הצעת </w:t>
      </w:r>
      <w:hyperlink r:id="rId17" w:history="1">
        <w:r w:rsidRPr="00812ACF">
          <w:rPr>
            <w:rStyle w:val="Hyperlink"/>
            <w:rFonts w:cs="FrankRuehl"/>
            <w:sz w:val="20"/>
            <w:szCs w:val="20"/>
            <w:rtl/>
            <w:lang w:eastAsia="en-US"/>
          </w:rPr>
          <w:t>חוק הנוער (שפיטה, ענישה ודרכי טיפול)</w:t>
        </w:r>
      </w:hyperlink>
      <w:r w:rsidRPr="00812ACF">
        <w:rPr>
          <w:rFonts w:cs="FrankRuehl"/>
          <w:sz w:val="20"/>
          <w:szCs w:val="20"/>
          <w:rtl/>
          <w:lang w:eastAsia="en-US"/>
        </w:rPr>
        <w:t>, תשכ"ט-</w:t>
      </w:r>
      <w:r w:rsidRPr="00812ACF">
        <w:rPr>
          <w:rFonts w:cs="FrankRuehl"/>
          <w:sz w:val="20"/>
          <w:szCs w:val="20"/>
          <w:lang w:eastAsia="en-US"/>
        </w:rPr>
        <w:t>1969</w:t>
      </w:r>
      <w:r w:rsidRPr="00812ACF">
        <w:rPr>
          <w:rFonts w:cs="FrankRuehl"/>
          <w:sz w:val="20"/>
          <w:szCs w:val="20"/>
          <w:rtl/>
          <w:lang w:eastAsia="en-US"/>
        </w:rPr>
        <w:t xml:space="preserve">, </w:t>
      </w:r>
      <w:proofErr w:type="spellStart"/>
      <w:r w:rsidRPr="00812ACF">
        <w:rPr>
          <w:rFonts w:cs="FrankRuehl"/>
          <w:sz w:val="20"/>
          <w:szCs w:val="20"/>
          <w:rtl/>
          <w:lang w:eastAsia="en-US"/>
        </w:rPr>
        <w:t>ה"ח</w:t>
      </w:r>
      <w:proofErr w:type="spellEnd"/>
      <w:r w:rsidRPr="00812ACF">
        <w:rPr>
          <w:rFonts w:cs="FrankRuehl"/>
          <w:sz w:val="20"/>
          <w:szCs w:val="20"/>
          <w:rtl/>
          <w:lang w:eastAsia="en-US"/>
        </w:rPr>
        <w:t xml:space="preserve"> </w:t>
      </w:r>
      <w:r w:rsidRPr="00812ACF">
        <w:rPr>
          <w:rFonts w:cs="FrankRuehl"/>
          <w:sz w:val="20"/>
          <w:szCs w:val="20"/>
          <w:lang w:eastAsia="en-US"/>
        </w:rPr>
        <w:t>161</w:t>
      </w:r>
      <w:r w:rsidRPr="00812ACF">
        <w:rPr>
          <w:rFonts w:cs="FrankRuehl"/>
          <w:sz w:val="20"/>
          <w:szCs w:val="20"/>
          <w:rtl/>
          <w:lang w:eastAsia="en-US"/>
        </w:rPr>
        <w:t xml:space="preserve">, סעיף </w:t>
      </w:r>
      <w:r w:rsidRPr="00812ACF">
        <w:rPr>
          <w:rFonts w:cs="FrankRuehl"/>
          <w:sz w:val="20"/>
          <w:szCs w:val="20"/>
          <w:lang w:eastAsia="en-US"/>
        </w:rPr>
        <w:t>15</w:t>
      </w:r>
      <w:r w:rsidRPr="00812ACF">
        <w:rPr>
          <w:rFonts w:cs="FrankRuehl"/>
          <w:sz w:val="20"/>
          <w:szCs w:val="20"/>
          <w:rtl/>
          <w:lang w:eastAsia="en-US"/>
        </w:rPr>
        <w:t xml:space="preserve">- </w:t>
      </w:r>
      <w:hyperlink r:id="rId18" w:history="1">
        <w:r w:rsidRPr="00812ACF">
          <w:rPr>
            <w:rStyle w:val="Hyperlink"/>
            <w:rFonts w:cs="FrankRuehl"/>
            <w:sz w:val="20"/>
            <w:szCs w:val="20"/>
            <w:rtl/>
            <w:lang w:eastAsia="en-US"/>
          </w:rPr>
          <w:t>חוק הבחירות לכנסת</w:t>
        </w:r>
      </w:hyperlink>
      <w:r w:rsidRPr="00812ACF">
        <w:rPr>
          <w:rFonts w:cs="FrankRuehl"/>
          <w:sz w:val="20"/>
          <w:szCs w:val="20"/>
          <w:rtl/>
          <w:lang w:eastAsia="en-US"/>
        </w:rPr>
        <w:t xml:space="preserve"> [נוסח משולב], תשכ"ט-</w:t>
      </w:r>
      <w:r w:rsidRPr="00812ACF">
        <w:rPr>
          <w:rFonts w:cs="FrankRuehl"/>
          <w:sz w:val="20"/>
          <w:szCs w:val="20"/>
          <w:lang w:eastAsia="en-US"/>
        </w:rPr>
        <w:t>1969</w:t>
      </w:r>
      <w:r w:rsidRPr="00812ACF">
        <w:rPr>
          <w:rFonts w:cs="FrankRuehl"/>
          <w:sz w:val="20"/>
          <w:szCs w:val="20"/>
          <w:rtl/>
          <w:lang w:eastAsia="en-US"/>
        </w:rPr>
        <w:t xml:space="preserve">, ס"ח </w:t>
      </w:r>
      <w:r w:rsidRPr="00812ACF">
        <w:rPr>
          <w:rFonts w:cs="FrankRuehl"/>
          <w:sz w:val="20"/>
          <w:szCs w:val="20"/>
          <w:lang w:eastAsia="en-US"/>
        </w:rPr>
        <w:t>103</w:t>
      </w:r>
      <w:r w:rsidRPr="00812ACF">
        <w:rPr>
          <w:rFonts w:cs="FrankRuehl"/>
          <w:sz w:val="20"/>
          <w:szCs w:val="20"/>
          <w:rtl/>
          <w:lang w:eastAsia="en-US"/>
        </w:rPr>
        <w:t xml:space="preserve">, סעיף </w:t>
      </w:r>
      <w:r w:rsidRPr="00812ACF">
        <w:rPr>
          <w:rFonts w:cs="FrankRuehl"/>
          <w:sz w:val="20"/>
          <w:szCs w:val="20"/>
          <w:lang w:eastAsia="en-US"/>
        </w:rPr>
        <w:t>128</w:t>
      </w:r>
      <w:r w:rsidRPr="00812ACF">
        <w:rPr>
          <w:rFonts w:cs="FrankRuehl"/>
          <w:sz w:val="20"/>
          <w:szCs w:val="20"/>
          <w:rtl/>
          <w:lang w:eastAsia="en-US"/>
        </w:rPr>
        <w:t xml:space="preserve">(2) - </w:t>
      </w:r>
      <w:hyperlink r:id="rId19" w:history="1">
        <w:r w:rsidRPr="00812ACF">
          <w:rPr>
            <w:rStyle w:val="Hyperlink"/>
            <w:rFonts w:cs="FrankRuehl"/>
            <w:sz w:val="20"/>
            <w:szCs w:val="20"/>
            <w:rtl/>
            <w:lang w:eastAsia="en-US"/>
          </w:rPr>
          <w:t>חוק הרשויות המקומיות (בחירות)</w:t>
        </w:r>
      </w:hyperlink>
      <w:r w:rsidRPr="00812ACF">
        <w:rPr>
          <w:rFonts w:cs="FrankRuehl"/>
          <w:sz w:val="20"/>
          <w:szCs w:val="20"/>
          <w:rtl/>
          <w:lang w:eastAsia="en-US"/>
        </w:rPr>
        <w:t>, תשכ"ה-</w:t>
      </w:r>
      <w:r w:rsidRPr="00812ACF">
        <w:rPr>
          <w:rFonts w:cs="FrankRuehl"/>
          <w:sz w:val="20"/>
          <w:szCs w:val="20"/>
          <w:lang w:eastAsia="en-US"/>
        </w:rPr>
        <w:t>1965</w:t>
      </w:r>
      <w:r w:rsidRPr="00812ACF">
        <w:rPr>
          <w:rFonts w:cs="FrankRuehl"/>
          <w:sz w:val="20"/>
          <w:szCs w:val="20"/>
          <w:rtl/>
          <w:lang w:eastAsia="en-US"/>
        </w:rPr>
        <w:t xml:space="preserve">, ס"ח </w:t>
      </w:r>
      <w:r w:rsidRPr="00812ACF">
        <w:rPr>
          <w:rFonts w:cs="FrankRuehl"/>
          <w:sz w:val="20"/>
          <w:szCs w:val="20"/>
          <w:lang w:eastAsia="en-US"/>
        </w:rPr>
        <w:t>248</w:t>
      </w:r>
      <w:r w:rsidRPr="00812ACF">
        <w:rPr>
          <w:rFonts w:cs="FrankRuehl"/>
          <w:sz w:val="20"/>
          <w:szCs w:val="20"/>
          <w:rtl/>
          <w:lang w:eastAsia="en-US"/>
        </w:rPr>
        <w:t xml:space="preserve">- חוק בחירות לגופים </w:t>
      </w:r>
      <w:proofErr w:type="spellStart"/>
      <w:r w:rsidRPr="00812ACF">
        <w:rPr>
          <w:rFonts w:cs="FrankRuehl"/>
          <w:sz w:val="20"/>
          <w:szCs w:val="20"/>
          <w:rtl/>
          <w:lang w:eastAsia="en-US"/>
        </w:rPr>
        <w:t>ציבורים</w:t>
      </w:r>
      <w:proofErr w:type="spellEnd"/>
      <w:r w:rsidRPr="00812ACF">
        <w:rPr>
          <w:rFonts w:cs="FrankRuehl"/>
          <w:sz w:val="20"/>
          <w:szCs w:val="20"/>
          <w:rtl/>
          <w:lang w:eastAsia="en-US"/>
        </w:rPr>
        <w:t>, תשי"ד-</w:t>
      </w:r>
      <w:r w:rsidRPr="00812ACF">
        <w:rPr>
          <w:rFonts w:cs="FrankRuehl"/>
          <w:sz w:val="20"/>
          <w:szCs w:val="20"/>
          <w:lang w:eastAsia="en-US"/>
        </w:rPr>
        <w:t>1954</w:t>
      </w:r>
      <w:r w:rsidRPr="00812ACF">
        <w:rPr>
          <w:rFonts w:cs="FrankRuehl"/>
          <w:sz w:val="20"/>
          <w:szCs w:val="20"/>
          <w:rtl/>
          <w:lang w:eastAsia="en-US"/>
        </w:rPr>
        <w:t xml:space="preserve">, ס"ח </w:t>
      </w:r>
      <w:r w:rsidRPr="00812ACF">
        <w:rPr>
          <w:rFonts w:cs="FrankRuehl"/>
          <w:sz w:val="20"/>
          <w:szCs w:val="20"/>
          <w:lang w:eastAsia="en-US"/>
        </w:rPr>
        <w:t>110</w:t>
      </w:r>
      <w:r w:rsidRPr="00812ACF">
        <w:rPr>
          <w:rFonts w:cs="FrankRuehl"/>
          <w:sz w:val="20"/>
          <w:szCs w:val="20"/>
          <w:rtl/>
          <w:lang w:eastAsia="en-US"/>
        </w:rPr>
        <w:t xml:space="preserve">- </w:t>
      </w:r>
      <w:hyperlink r:id="rId20" w:history="1">
        <w:r w:rsidRPr="00812ACF">
          <w:rPr>
            <w:rStyle w:val="Hyperlink"/>
            <w:rFonts w:cs="FrankRuehl"/>
            <w:sz w:val="20"/>
            <w:szCs w:val="20"/>
            <w:rtl/>
            <w:lang w:eastAsia="en-US"/>
          </w:rPr>
          <w:t>חוק הגנת הפרטיות</w:t>
        </w:r>
      </w:hyperlink>
      <w:r w:rsidRPr="00812ACF">
        <w:rPr>
          <w:rFonts w:cs="FrankRuehl"/>
          <w:sz w:val="20"/>
          <w:szCs w:val="20"/>
          <w:rtl/>
          <w:lang w:eastAsia="en-US"/>
        </w:rPr>
        <w:t>, תשמ"א-</w:t>
      </w:r>
      <w:r w:rsidRPr="00812ACF">
        <w:rPr>
          <w:rFonts w:cs="FrankRuehl"/>
          <w:sz w:val="20"/>
          <w:szCs w:val="20"/>
          <w:lang w:eastAsia="en-US"/>
        </w:rPr>
        <w:t>1981</w:t>
      </w:r>
      <w:r w:rsidRPr="00812ACF">
        <w:rPr>
          <w:rFonts w:cs="FrankRuehl"/>
          <w:sz w:val="20"/>
          <w:szCs w:val="20"/>
          <w:rtl/>
          <w:lang w:eastAsia="en-US"/>
        </w:rPr>
        <w:t xml:space="preserve">, ס"ח </w:t>
      </w:r>
      <w:r w:rsidRPr="00812ACF">
        <w:rPr>
          <w:rFonts w:cs="FrankRuehl"/>
          <w:sz w:val="20"/>
          <w:szCs w:val="20"/>
          <w:lang w:eastAsia="en-US"/>
        </w:rPr>
        <w:t>128</w:t>
      </w:r>
      <w:r w:rsidRPr="00812ACF">
        <w:rPr>
          <w:rFonts w:cs="FrankRuehl"/>
          <w:sz w:val="20"/>
          <w:szCs w:val="20"/>
          <w:rtl/>
          <w:lang w:eastAsia="en-US"/>
        </w:rPr>
        <w:t xml:space="preserve">- </w:t>
      </w:r>
      <w:hyperlink r:id="rId21" w:history="1">
        <w:r w:rsidRPr="00812ACF">
          <w:rPr>
            <w:rStyle w:val="Hyperlink"/>
            <w:rFonts w:cs="FrankRuehl"/>
            <w:sz w:val="20"/>
            <w:szCs w:val="20"/>
            <w:rtl/>
            <w:lang w:eastAsia="en-US"/>
          </w:rPr>
          <w:t>חוק למניעת מפגעים</w:t>
        </w:r>
      </w:hyperlink>
      <w:r w:rsidRPr="00812ACF">
        <w:rPr>
          <w:rFonts w:cs="FrankRuehl"/>
          <w:sz w:val="20"/>
          <w:szCs w:val="20"/>
          <w:rtl/>
          <w:lang w:eastAsia="en-US"/>
        </w:rPr>
        <w:t>, תשכ"א-</w:t>
      </w:r>
      <w:r w:rsidRPr="00812ACF">
        <w:rPr>
          <w:rFonts w:cs="FrankRuehl"/>
          <w:sz w:val="20"/>
          <w:szCs w:val="20"/>
          <w:lang w:eastAsia="en-US"/>
        </w:rPr>
        <w:t>1961</w:t>
      </w:r>
      <w:r w:rsidRPr="00812ACF">
        <w:rPr>
          <w:rFonts w:cs="FrankRuehl"/>
          <w:sz w:val="20"/>
          <w:szCs w:val="20"/>
          <w:rtl/>
          <w:lang w:eastAsia="en-US"/>
        </w:rPr>
        <w:t xml:space="preserve">, ס"ח </w:t>
      </w:r>
      <w:r w:rsidRPr="00812ACF">
        <w:rPr>
          <w:rFonts w:cs="FrankRuehl"/>
          <w:sz w:val="20"/>
          <w:szCs w:val="20"/>
          <w:lang w:eastAsia="en-US"/>
        </w:rPr>
        <w:t>58</w:t>
      </w:r>
      <w:r w:rsidRPr="00812ACF">
        <w:rPr>
          <w:rFonts w:cs="FrankRuehl"/>
          <w:sz w:val="20"/>
          <w:szCs w:val="20"/>
          <w:rtl/>
          <w:lang w:eastAsia="en-US"/>
        </w:rPr>
        <w:t xml:space="preserve">- הצעת </w:t>
      </w:r>
      <w:hyperlink r:id="rId22" w:history="1">
        <w:r w:rsidRPr="00812ACF">
          <w:rPr>
            <w:rStyle w:val="Hyperlink"/>
            <w:rFonts w:cs="FrankRuehl"/>
            <w:sz w:val="20"/>
            <w:szCs w:val="20"/>
            <w:rtl/>
            <w:lang w:eastAsia="en-US"/>
          </w:rPr>
          <w:t>חוק המים</w:t>
        </w:r>
      </w:hyperlink>
      <w:r w:rsidRPr="00812ACF">
        <w:rPr>
          <w:rFonts w:cs="FrankRuehl"/>
          <w:sz w:val="20"/>
          <w:szCs w:val="20"/>
          <w:rtl/>
          <w:lang w:eastAsia="en-US"/>
        </w:rPr>
        <w:t xml:space="preserve"> (תיקון מס' 7), תשנ"א-</w:t>
      </w:r>
      <w:r w:rsidRPr="00812ACF">
        <w:rPr>
          <w:rFonts w:cs="FrankRuehl"/>
          <w:sz w:val="20"/>
          <w:szCs w:val="20"/>
          <w:lang w:eastAsia="en-US"/>
        </w:rPr>
        <w:t>1991</w:t>
      </w:r>
      <w:r w:rsidRPr="00812ACF">
        <w:rPr>
          <w:rFonts w:cs="FrankRuehl"/>
          <w:sz w:val="20"/>
          <w:szCs w:val="20"/>
          <w:rtl/>
          <w:lang w:eastAsia="en-US"/>
        </w:rPr>
        <w:t xml:space="preserve">, </w:t>
      </w:r>
      <w:proofErr w:type="spellStart"/>
      <w:r w:rsidRPr="00812ACF">
        <w:rPr>
          <w:rFonts w:cs="FrankRuehl"/>
          <w:sz w:val="20"/>
          <w:szCs w:val="20"/>
          <w:rtl/>
          <w:lang w:eastAsia="en-US"/>
        </w:rPr>
        <w:t>ה"ח</w:t>
      </w:r>
      <w:proofErr w:type="spellEnd"/>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r w:rsidRPr="00812ACF">
        <w:rPr>
          <w:rFonts w:cs="FrankRuehl"/>
          <w:sz w:val="20"/>
          <w:szCs w:val="20"/>
          <w:lang w:eastAsia="en-US"/>
        </w:rPr>
        <w:t xml:space="preserve"> 121- </w:t>
      </w:r>
      <w:r w:rsidRPr="00812ACF">
        <w:rPr>
          <w:rFonts w:cs="FrankRuehl"/>
          <w:sz w:val="20"/>
          <w:szCs w:val="20"/>
          <w:rtl/>
          <w:lang w:eastAsia="en-US"/>
        </w:rPr>
        <w:t>חוק סדר הדין הפלילי (תיקון מס' 4), תשל"ה-</w:t>
      </w:r>
      <w:r w:rsidRPr="00812ACF">
        <w:rPr>
          <w:rFonts w:cs="FrankRuehl"/>
          <w:sz w:val="20"/>
          <w:szCs w:val="20"/>
          <w:lang w:eastAsia="en-US"/>
        </w:rPr>
        <w:t>1974</w:t>
      </w:r>
      <w:r w:rsidRPr="00812ACF">
        <w:rPr>
          <w:rFonts w:cs="FrankRuehl"/>
          <w:sz w:val="20"/>
          <w:szCs w:val="20"/>
          <w:rtl/>
          <w:lang w:eastAsia="en-US"/>
        </w:rPr>
        <w:t xml:space="preserve">, ס"ח </w:t>
      </w:r>
      <w:r w:rsidRPr="00812ACF">
        <w:rPr>
          <w:rFonts w:cs="FrankRuehl"/>
          <w:sz w:val="20"/>
          <w:szCs w:val="20"/>
          <w:lang w:eastAsia="en-US"/>
        </w:rPr>
        <w:t>6-</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r w:rsidRPr="00812ACF">
        <w:rPr>
          <w:rFonts w:cs="FrankRuehl"/>
          <w:sz w:val="20"/>
          <w:szCs w:val="20"/>
          <w:rtl/>
          <w:lang w:eastAsia="en-US"/>
        </w:rPr>
        <w:t>הצעת חוק סדר הדין הפלילי, תשכ"ג-</w:t>
      </w:r>
      <w:r w:rsidRPr="00812ACF">
        <w:rPr>
          <w:rFonts w:cs="FrankRuehl"/>
          <w:sz w:val="20"/>
          <w:szCs w:val="20"/>
          <w:lang w:eastAsia="en-US"/>
        </w:rPr>
        <w:t>1963</w:t>
      </w:r>
      <w:r w:rsidRPr="00812ACF">
        <w:rPr>
          <w:rFonts w:cs="FrankRuehl"/>
          <w:sz w:val="20"/>
          <w:szCs w:val="20"/>
          <w:rtl/>
          <w:lang w:eastAsia="en-US"/>
        </w:rPr>
        <w:t xml:space="preserve">, </w:t>
      </w:r>
      <w:proofErr w:type="spellStart"/>
      <w:r w:rsidRPr="00812ACF">
        <w:rPr>
          <w:rFonts w:cs="FrankRuehl"/>
          <w:sz w:val="20"/>
          <w:szCs w:val="20"/>
          <w:rtl/>
          <w:lang w:eastAsia="en-US"/>
        </w:rPr>
        <w:t>ה"ח</w:t>
      </w:r>
      <w:proofErr w:type="spellEnd"/>
      <w:r w:rsidRPr="00812ACF">
        <w:rPr>
          <w:rFonts w:cs="FrankRuehl"/>
          <w:sz w:val="20"/>
          <w:szCs w:val="20"/>
          <w:rtl/>
          <w:lang w:eastAsia="en-US"/>
        </w:rPr>
        <w:t xml:space="preserve"> </w:t>
      </w:r>
      <w:r w:rsidRPr="00812ACF">
        <w:rPr>
          <w:rFonts w:cs="FrankRuehl"/>
          <w:sz w:val="20"/>
          <w:szCs w:val="20"/>
          <w:lang w:eastAsia="en-US"/>
        </w:rPr>
        <w:t>161</w:t>
      </w:r>
      <w:r w:rsidRPr="00812ACF">
        <w:rPr>
          <w:rFonts w:cs="FrankRuehl"/>
          <w:sz w:val="20"/>
          <w:szCs w:val="20"/>
          <w:rtl/>
          <w:lang w:eastAsia="en-US"/>
        </w:rPr>
        <w:t xml:space="preserve">- </w:t>
      </w:r>
      <w:hyperlink r:id="rId23" w:history="1">
        <w:r w:rsidRPr="00812ACF">
          <w:rPr>
            <w:rStyle w:val="Hyperlink"/>
            <w:rFonts w:cs="FrankRuehl"/>
            <w:sz w:val="20"/>
            <w:szCs w:val="20"/>
            <w:rtl/>
            <w:lang w:eastAsia="en-US"/>
          </w:rPr>
          <w:t>חוק העונשין</w:t>
        </w:r>
      </w:hyperlink>
      <w:r w:rsidRPr="00812ACF">
        <w:rPr>
          <w:rFonts w:cs="FrankRuehl"/>
          <w:sz w:val="20"/>
          <w:szCs w:val="20"/>
          <w:rtl/>
          <w:lang w:eastAsia="en-US"/>
        </w:rPr>
        <w:t xml:space="preserve"> (תיקון</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rtl/>
          <w:lang w:eastAsia="en-US"/>
        </w:rPr>
      </w:pPr>
      <w:r w:rsidRPr="00812ACF">
        <w:rPr>
          <w:rFonts w:cs="FrankRuehl"/>
          <w:sz w:val="20"/>
          <w:szCs w:val="20"/>
          <w:rtl/>
          <w:lang w:eastAsia="en-US"/>
        </w:rPr>
        <w:t>מס' 9), תש"ם-</w:t>
      </w:r>
      <w:r w:rsidRPr="00812ACF">
        <w:rPr>
          <w:rFonts w:cs="FrankRuehl"/>
          <w:sz w:val="20"/>
          <w:szCs w:val="20"/>
          <w:lang w:eastAsia="en-US"/>
        </w:rPr>
        <w:t>1980</w:t>
      </w:r>
      <w:r w:rsidRPr="00812ACF">
        <w:rPr>
          <w:rFonts w:cs="FrankRuehl"/>
          <w:sz w:val="20"/>
          <w:szCs w:val="20"/>
          <w:rtl/>
          <w:lang w:eastAsia="en-US"/>
        </w:rPr>
        <w:t xml:space="preserve">, ס"ח </w:t>
      </w:r>
      <w:r w:rsidRPr="00812ACF">
        <w:rPr>
          <w:rFonts w:cs="FrankRuehl"/>
          <w:sz w:val="20"/>
          <w:szCs w:val="20"/>
          <w:lang w:eastAsia="en-US"/>
        </w:rPr>
        <w:t>60</w:t>
      </w:r>
      <w:r w:rsidRPr="00812ACF">
        <w:rPr>
          <w:rFonts w:cs="FrankRuehl"/>
          <w:sz w:val="20"/>
          <w:szCs w:val="20"/>
          <w:rtl/>
          <w:lang w:eastAsia="en-US"/>
        </w:rPr>
        <w:t xml:space="preserve">- </w:t>
      </w:r>
      <w:hyperlink r:id="rId24" w:history="1">
        <w:r w:rsidRPr="00812ACF">
          <w:rPr>
            <w:rStyle w:val="Hyperlink"/>
            <w:rFonts w:cs="FrankRuehl"/>
            <w:sz w:val="20"/>
            <w:szCs w:val="20"/>
            <w:rtl/>
            <w:lang w:eastAsia="en-US"/>
          </w:rPr>
          <w:t>פקודת הנזיקין</w:t>
        </w:r>
      </w:hyperlink>
      <w:r w:rsidRPr="00812ACF">
        <w:rPr>
          <w:rFonts w:cs="FrankRuehl"/>
          <w:sz w:val="20"/>
          <w:szCs w:val="20"/>
          <w:rtl/>
          <w:lang w:eastAsia="en-US"/>
        </w:rPr>
        <w:t xml:space="preserve"> [נוסח חדש], נ"ח </w:t>
      </w:r>
      <w:r w:rsidRPr="00812ACF">
        <w:rPr>
          <w:rFonts w:cs="FrankRuehl"/>
          <w:sz w:val="20"/>
          <w:szCs w:val="20"/>
          <w:lang w:eastAsia="en-US"/>
        </w:rPr>
        <w:t>266</w:t>
      </w:r>
      <w:r w:rsidRPr="00812ACF">
        <w:rPr>
          <w:rFonts w:cs="FrankRuehl"/>
          <w:sz w:val="20"/>
          <w:szCs w:val="20"/>
          <w:rtl/>
          <w:lang w:eastAsia="en-US"/>
        </w:rPr>
        <w:t>, סעיף</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r w:rsidRPr="00812ACF">
        <w:rPr>
          <w:rFonts w:cs="FrankRuehl"/>
          <w:sz w:val="20"/>
          <w:szCs w:val="20"/>
          <w:lang w:eastAsia="en-US"/>
        </w:rPr>
        <w:t xml:space="preserve"> 60- </w:t>
      </w:r>
      <w:hyperlink r:id="rId25" w:history="1">
        <w:r w:rsidRPr="00812ACF">
          <w:rPr>
            <w:rStyle w:val="Hyperlink"/>
            <w:rFonts w:cs="FrankRuehl"/>
            <w:sz w:val="20"/>
            <w:szCs w:val="20"/>
            <w:rtl/>
            <w:lang w:eastAsia="en-US"/>
          </w:rPr>
          <w:t>פקודת סדר הדין הפלילי</w:t>
        </w:r>
      </w:hyperlink>
      <w:r w:rsidRPr="00812ACF">
        <w:rPr>
          <w:rFonts w:cs="FrankRuehl"/>
          <w:sz w:val="20"/>
          <w:szCs w:val="20"/>
          <w:rtl/>
          <w:lang w:eastAsia="en-US"/>
        </w:rPr>
        <w:t xml:space="preserve"> (מעצר וחיפוש) [נוסח חדש], תשכ"ט-</w:t>
      </w:r>
      <w:r w:rsidRPr="00812ACF">
        <w:rPr>
          <w:rFonts w:cs="FrankRuehl"/>
          <w:sz w:val="20"/>
          <w:szCs w:val="20"/>
          <w:lang w:eastAsia="en-US"/>
        </w:rPr>
        <w:t>1969</w:t>
      </w:r>
      <w:r w:rsidRPr="00812ACF">
        <w:rPr>
          <w:rFonts w:cs="FrankRuehl"/>
          <w:sz w:val="20"/>
          <w:szCs w:val="20"/>
          <w:rtl/>
          <w:lang w:eastAsia="en-US"/>
        </w:rPr>
        <w:t xml:space="preserve">, נ"ח </w:t>
      </w:r>
      <w:r w:rsidRPr="00812ACF">
        <w:rPr>
          <w:rFonts w:cs="FrankRuehl"/>
          <w:sz w:val="20"/>
          <w:szCs w:val="20"/>
          <w:lang w:eastAsia="en-US"/>
        </w:rPr>
        <w:t>284</w:t>
      </w:r>
      <w:r w:rsidRPr="00812ACF">
        <w:rPr>
          <w:rFonts w:cs="FrankRuehl"/>
          <w:sz w:val="20"/>
          <w:szCs w:val="20"/>
          <w:rtl/>
          <w:lang w:eastAsia="en-US"/>
        </w:rPr>
        <w:t xml:space="preserve">, סעיפים </w:t>
      </w:r>
      <w:r w:rsidRPr="00812ACF">
        <w:rPr>
          <w:rFonts w:cs="FrankRuehl"/>
          <w:sz w:val="20"/>
          <w:szCs w:val="20"/>
          <w:lang w:eastAsia="en-US"/>
        </w:rPr>
        <w:t>23</w:t>
      </w:r>
      <w:r w:rsidRPr="00812ACF">
        <w:rPr>
          <w:rFonts w:cs="FrankRuehl"/>
          <w:sz w:val="20"/>
          <w:szCs w:val="20"/>
          <w:rtl/>
          <w:lang w:eastAsia="en-US"/>
        </w:rPr>
        <w:t xml:space="preserve">, </w:t>
      </w:r>
      <w:r w:rsidRPr="00812ACF">
        <w:rPr>
          <w:rFonts w:cs="FrankRuehl"/>
          <w:sz w:val="20"/>
          <w:szCs w:val="20"/>
          <w:lang w:eastAsia="en-US"/>
        </w:rPr>
        <w:t>24</w:t>
      </w:r>
      <w:r w:rsidRPr="00812ACF">
        <w:rPr>
          <w:rFonts w:cs="FrankRuehl"/>
          <w:sz w:val="20"/>
          <w:szCs w:val="20"/>
          <w:rtl/>
          <w:lang w:eastAsia="en-US"/>
        </w:rPr>
        <w:t xml:space="preserve">, </w:t>
      </w:r>
      <w:r w:rsidRPr="00812ACF">
        <w:rPr>
          <w:rFonts w:cs="FrankRuehl"/>
          <w:sz w:val="20"/>
          <w:szCs w:val="20"/>
          <w:lang w:eastAsia="en-US"/>
        </w:rPr>
        <w:t>24</w:t>
      </w:r>
      <w:r w:rsidRPr="00812ACF">
        <w:rPr>
          <w:rFonts w:cs="FrankRuehl"/>
          <w:sz w:val="20"/>
          <w:szCs w:val="20"/>
          <w:rtl/>
          <w:lang w:eastAsia="en-US"/>
        </w:rPr>
        <w:t>(א</w:t>
      </w:r>
      <w:proofErr w:type="gramStart"/>
      <w:r w:rsidRPr="00812ACF">
        <w:rPr>
          <w:rFonts w:cs="FrankRuehl"/>
          <w:sz w:val="20"/>
          <w:szCs w:val="20"/>
          <w:rtl/>
          <w:lang w:eastAsia="en-US"/>
        </w:rPr>
        <w:t>)(</w:t>
      </w:r>
      <w:proofErr w:type="gramEnd"/>
      <w:r w:rsidRPr="00812ACF">
        <w:rPr>
          <w:rFonts w:cs="FrankRuehl"/>
          <w:sz w:val="20"/>
          <w:szCs w:val="20"/>
          <w:rtl/>
          <w:lang w:eastAsia="en-US"/>
        </w:rPr>
        <w:t xml:space="preserve">1), </w:t>
      </w:r>
      <w:r w:rsidRPr="00812ACF">
        <w:rPr>
          <w:rFonts w:cs="FrankRuehl"/>
          <w:sz w:val="20"/>
          <w:szCs w:val="20"/>
          <w:lang w:eastAsia="en-US"/>
        </w:rPr>
        <w:t>24</w:t>
      </w:r>
      <w:r w:rsidRPr="00812ACF">
        <w:rPr>
          <w:rFonts w:cs="FrankRuehl"/>
          <w:sz w:val="20"/>
          <w:szCs w:val="20"/>
          <w:rtl/>
          <w:lang w:eastAsia="en-US"/>
        </w:rPr>
        <w:t xml:space="preserve">(א)(2) - </w:t>
      </w:r>
      <w:hyperlink r:id="rId26" w:history="1">
        <w:r w:rsidRPr="00812ACF">
          <w:rPr>
            <w:rStyle w:val="Hyperlink"/>
            <w:rFonts w:cs="FrankRuehl"/>
            <w:sz w:val="20"/>
            <w:szCs w:val="20"/>
            <w:rtl/>
            <w:lang w:eastAsia="en-US"/>
          </w:rPr>
          <w:t>פקודת זכות יוצרים</w:t>
        </w:r>
      </w:hyperlink>
      <w:r w:rsidRPr="00812ACF">
        <w:rPr>
          <w:rFonts w:cs="FrankRuehl"/>
          <w:sz w:val="20"/>
          <w:szCs w:val="20"/>
          <w:rtl/>
          <w:lang w:eastAsia="en-US"/>
        </w:rPr>
        <w:t xml:space="preserve">, </w:t>
      </w:r>
      <w:proofErr w:type="spellStart"/>
      <w:r w:rsidRPr="00812ACF">
        <w:rPr>
          <w:rFonts w:cs="FrankRuehl"/>
          <w:sz w:val="20"/>
          <w:szCs w:val="20"/>
          <w:rtl/>
          <w:lang w:eastAsia="en-US"/>
        </w:rPr>
        <w:t>חא"י</w:t>
      </w:r>
      <w:proofErr w:type="spellEnd"/>
      <w:r w:rsidRPr="00812ACF">
        <w:rPr>
          <w:rFonts w:cs="FrankRuehl"/>
          <w:sz w:val="20"/>
          <w:szCs w:val="20"/>
          <w:rtl/>
          <w:lang w:eastAsia="en-US"/>
        </w:rPr>
        <w:t xml:space="preserve"> כרך</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lang w:eastAsia="en-US"/>
        </w:rPr>
      </w:pPr>
      <w:r w:rsidRPr="00812ACF">
        <w:rPr>
          <w:rFonts w:cs="FrankRuehl"/>
          <w:sz w:val="20"/>
          <w:szCs w:val="20"/>
          <w:rtl/>
          <w:lang w:eastAsia="en-US"/>
        </w:rPr>
        <w:t xml:space="preserve">א, (ע) </w:t>
      </w:r>
      <w:r w:rsidRPr="00812ACF">
        <w:rPr>
          <w:rFonts w:cs="FrankRuehl"/>
          <w:sz w:val="20"/>
          <w:szCs w:val="20"/>
          <w:lang w:eastAsia="en-US"/>
        </w:rPr>
        <w:t>364</w:t>
      </w:r>
      <w:r w:rsidRPr="00812ACF">
        <w:rPr>
          <w:rFonts w:cs="FrankRuehl"/>
          <w:sz w:val="20"/>
          <w:szCs w:val="20"/>
          <w:rtl/>
          <w:lang w:eastAsia="en-US"/>
        </w:rPr>
        <w:t xml:space="preserve">, (א) </w:t>
      </w:r>
      <w:r w:rsidRPr="00812ACF">
        <w:rPr>
          <w:rFonts w:cs="FrankRuehl"/>
          <w:sz w:val="20"/>
          <w:szCs w:val="20"/>
          <w:lang w:eastAsia="en-US"/>
        </w:rPr>
        <w:t>389</w:t>
      </w:r>
      <w:r w:rsidRPr="00812ACF">
        <w:rPr>
          <w:rFonts w:cs="FrankRuehl"/>
          <w:sz w:val="20"/>
          <w:szCs w:val="20"/>
          <w:rtl/>
          <w:lang w:eastAsia="en-US"/>
        </w:rPr>
        <w:t>, סעיף 3(3)</w:t>
      </w:r>
      <w:r w:rsidRPr="00812ACF">
        <w:rPr>
          <w:rFonts w:cs="FrankRuehl"/>
          <w:sz w:val="20"/>
          <w:szCs w:val="20"/>
          <w:lang w:eastAsia="en-US"/>
        </w:rPr>
        <w:t>.</w:t>
      </w:r>
    </w:p>
    <w:p w:rsidR="00812ACF" w:rsidRPr="00812ACF" w:rsidRDefault="00812ACF" w:rsidP="00812ACF">
      <w:pPr>
        <w:tabs>
          <w:tab w:val="left" w:pos="432"/>
          <w:tab w:val="left" w:pos="2448"/>
          <w:tab w:val="left" w:pos="3888"/>
          <w:tab w:val="left" w:pos="4464"/>
          <w:tab w:val="left" w:pos="5184"/>
        </w:tabs>
        <w:spacing w:after="80" w:line="260" w:lineRule="exact"/>
        <w:jc w:val="center"/>
        <w:rPr>
          <w:rFonts w:cs="FrankRuehl"/>
          <w:sz w:val="20"/>
          <w:szCs w:val="20"/>
          <w:rtl/>
          <w:lang w:eastAsia="en-US"/>
        </w:rPr>
      </w:pPr>
      <w:r w:rsidRPr="00812ACF">
        <w:rPr>
          <w:rFonts w:cs="FrankRuehl"/>
          <w:sz w:val="20"/>
          <w:szCs w:val="20"/>
          <w:rtl/>
          <w:lang w:eastAsia="en-US"/>
        </w:rPr>
        <w:t xml:space="preserve"> הבקשה מעוררת את שאלת סמכותו של בית המשפט לצוות על מעצרו של נאשם עד תום ההליכים המשפטיים נגדו בעילה של שיבוש הליכי משפט, בהליך שהחל כקובלנה פרטית. לטענת המשיב, החל המבקש להטריד אותו ואת עדיו בעקבות הגשת קובלנה נגדו בגין הוצאת לשון הרע. הבקשה לרשות ערעור נענתה.</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בית המשפט העליון פסק</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א. (1) יסוד מוסד הוא, כי המדינה היא</w:t>
      </w:r>
      <w:r w:rsidRPr="00812ACF">
        <w:rPr>
          <w:rFonts w:cs="FrankRuehl"/>
          <w:sz w:val="20"/>
          <w:szCs w:val="20"/>
          <w:lang w:eastAsia="en-US"/>
        </w:rPr>
        <w:t xml:space="preserve"> </w:t>
      </w:r>
      <w:r w:rsidRPr="00812ACF">
        <w:rPr>
          <w:rFonts w:cs="FrankRuehl"/>
          <w:sz w:val="20"/>
          <w:szCs w:val="20"/>
          <w:rtl/>
          <w:lang w:eastAsia="en-US"/>
        </w:rPr>
        <w:t>האחראית להבאת עבריינים לדין ולניהול</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 xml:space="preserve"> ההליך הפלילי (</w:t>
      </w:r>
      <w:r w:rsidRPr="00812ACF">
        <w:rPr>
          <w:rFonts w:cs="FrankRuehl"/>
          <w:sz w:val="20"/>
          <w:szCs w:val="20"/>
          <w:lang w:eastAsia="en-US"/>
        </w:rPr>
        <w:t xml:space="preserve"> 140</w:t>
      </w:r>
      <w:r w:rsidRPr="00812ACF">
        <w:rPr>
          <w:rFonts w:cs="FrankRuehl"/>
          <w:sz w:val="20"/>
          <w:szCs w:val="20"/>
          <w:rtl/>
          <w:lang w:eastAsia="en-US"/>
        </w:rPr>
        <w:t>ז-</w:t>
      </w:r>
      <w:r w:rsidRPr="00812ACF">
        <w:rPr>
          <w:rFonts w:cs="FrankRuehl"/>
          <w:sz w:val="20"/>
          <w:szCs w:val="20"/>
          <w:lang w:eastAsia="en-US"/>
        </w:rPr>
        <w:t xml:space="preserve"> 141</w:t>
      </w:r>
      <w:r w:rsidRPr="00812ACF">
        <w:rPr>
          <w:rFonts w:cs="FrankRuehl"/>
          <w:sz w:val="20"/>
          <w:szCs w:val="20"/>
          <w:rtl/>
          <w:lang w:eastAsia="en-US"/>
        </w:rPr>
        <w:t>א)</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2</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עיקרון זה נובע מהשקפה, כי העבירה הפלילית היא פגיעה בציבור, בחברה כולה, ולכן עניינה של החברה הוא שהעבריין יבוא על עונשו (</w:t>
      </w:r>
      <w:r w:rsidRPr="00812ACF">
        <w:rPr>
          <w:rFonts w:cs="FrankRuehl"/>
          <w:sz w:val="20"/>
          <w:szCs w:val="20"/>
          <w:lang w:eastAsia="en-US"/>
        </w:rPr>
        <w:t xml:space="preserve"> 141</w:t>
      </w:r>
      <w:r w:rsidRPr="00812ACF">
        <w:rPr>
          <w:rFonts w:cs="FrankRuehl"/>
          <w:sz w:val="20"/>
          <w:szCs w:val="20"/>
          <w:rtl/>
          <w:lang w:eastAsia="en-US"/>
        </w:rPr>
        <w:t>א)</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3</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לצד עיקרון זה מוכרת זכותו של הפרט להגיש קובלנה פרטית</w:t>
      </w:r>
      <w:r w:rsidRPr="00812ACF">
        <w:rPr>
          <w:rFonts w:cs="FrankRuehl"/>
          <w:sz w:val="20"/>
          <w:szCs w:val="20"/>
          <w:lang w:eastAsia="en-US"/>
        </w:rPr>
        <w:t xml:space="preserve">. </w:t>
      </w:r>
      <w:r w:rsidRPr="00812ACF">
        <w:rPr>
          <w:rFonts w:cs="FrankRuehl"/>
          <w:sz w:val="20"/>
          <w:szCs w:val="20"/>
          <w:rtl/>
          <w:lang w:eastAsia="en-US"/>
        </w:rPr>
        <w:t>זכות זו</w:t>
      </w:r>
      <w:r w:rsidRPr="00812ACF">
        <w:rPr>
          <w:rFonts w:cs="FrankRuehl"/>
          <w:sz w:val="20"/>
          <w:szCs w:val="20"/>
          <w:lang w:eastAsia="en-US"/>
        </w:rPr>
        <w:t xml:space="preserve"> </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 xml:space="preserve">מעוגנת כיום, כאמור, בהוראות סימן ב' שבפרק ד' של </w:t>
      </w:r>
      <w:hyperlink r:id="rId27"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תשמ"ב-</w:t>
      </w:r>
      <w:r w:rsidRPr="00812ACF">
        <w:rPr>
          <w:rFonts w:cs="FrankRuehl"/>
          <w:sz w:val="20"/>
          <w:szCs w:val="20"/>
          <w:lang w:eastAsia="en-US"/>
        </w:rPr>
        <w:t xml:space="preserve"> 1982</w:t>
      </w:r>
      <w:r w:rsidRPr="00812ACF">
        <w:rPr>
          <w:rFonts w:cs="FrankRuehl"/>
          <w:sz w:val="20"/>
          <w:szCs w:val="20"/>
          <w:rtl/>
          <w:lang w:eastAsia="en-US"/>
        </w:rPr>
        <w:t>(</w:t>
      </w:r>
      <w:r w:rsidRPr="00812ACF">
        <w:rPr>
          <w:rFonts w:cs="FrankRuehl"/>
          <w:sz w:val="20"/>
          <w:szCs w:val="20"/>
          <w:lang w:eastAsia="en-US"/>
        </w:rPr>
        <w:t xml:space="preserve"> 141</w:t>
      </w:r>
      <w:r w:rsidRPr="00812ACF">
        <w:rPr>
          <w:rFonts w:cs="FrankRuehl"/>
          <w:sz w:val="20"/>
          <w:szCs w:val="20"/>
          <w:rtl/>
          <w:lang w:eastAsia="en-US"/>
        </w:rPr>
        <w:t>ה-ו)</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 xml:space="preserve"> ב. מוסד הקובלנה הפרטית שנוי במחלוקת. לצד הערובה שהוא נותן בידי הקובל</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כנגד אי מימוש תלונתו נגד הנאשם בכתב אישום מידי המדינה, אין הוא נותן</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בידי הנאשם אותן ערובות הקיימות לו בדיון על פי כתב אישום. להבדיל מהליכים הננקטים בידי התביעה, ההחלטה להגיש קובלנה פרטית היא החלטתו של הקובל, שהוא בדרך כלל הקורבן, ללא חובת חקירה ובדיקה מוקדמת של הראיות בידי רשויות המדינה. מניעיו של הקובל עלולים להיות פסולים, והוא אינו כפוף לביקורת כלשהי (</w:t>
      </w:r>
      <w:r w:rsidRPr="00812ACF">
        <w:rPr>
          <w:rFonts w:cs="FrankRuehl"/>
          <w:sz w:val="20"/>
          <w:szCs w:val="20"/>
          <w:lang w:eastAsia="en-US"/>
        </w:rPr>
        <w:t xml:space="preserve"> 146</w:t>
      </w:r>
      <w:r w:rsidRPr="00812ACF">
        <w:rPr>
          <w:rFonts w:cs="FrankRuehl"/>
          <w:sz w:val="20"/>
          <w:szCs w:val="20"/>
          <w:rtl/>
          <w:lang w:eastAsia="en-US"/>
        </w:rPr>
        <w:t>ג-ד).</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 xml:space="preserve">ג. (1) המחוקק בחר לאמץ את הקובלנה הפרטית בצורה מבוקרת, תוך הצבת בלמים ואיזונים. הוא הגביל את הזכות לקובלנה הפרטית רק למקרים המוגדרים. באלה נתן ערובה לפרט כנגד אי הפעלת הסמכות לתביעה הכללית. מאידך, נתן בידי התביעה את הבחירה ליטול לעצמה את ניהול הקובלנה בידי פרקליט מפרקליטי המדינה ולהופכה לכתב אישום מטעמה. כך יכולה התביעה להשתמש בכוח הנתון בידה בדרך כלל להביא להפסקת האישום על ידי הימנעות </w:t>
      </w:r>
      <w:proofErr w:type="spellStart"/>
      <w:r w:rsidRPr="00812ACF">
        <w:rPr>
          <w:rFonts w:cs="FrankRuehl"/>
          <w:sz w:val="20"/>
          <w:szCs w:val="20"/>
          <w:rtl/>
          <w:lang w:eastAsia="en-US"/>
        </w:rPr>
        <w:t>מהביא</w:t>
      </w:r>
      <w:proofErr w:type="spellEnd"/>
      <w:r w:rsidRPr="00812ACF">
        <w:rPr>
          <w:rFonts w:cs="FrankRuehl"/>
          <w:sz w:val="20"/>
          <w:szCs w:val="20"/>
          <w:rtl/>
          <w:lang w:eastAsia="en-US"/>
        </w:rPr>
        <w:t xml:space="preserve"> עדים, ממש כבאישום מטעם התביעה הכללית. כמו כן יש בידי היועץ המשפטי לממשלה הסמכות לעכב את הקובלנה (</w:t>
      </w:r>
      <w:r w:rsidRPr="00812ACF">
        <w:rPr>
          <w:rFonts w:cs="FrankRuehl"/>
          <w:sz w:val="20"/>
          <w:szCs w:val="20"/>
          <w:lang w:eastAsia="en-US"/>
        </w:rPr>
        <w:t xml:space="preserve"> 146</w:t>
      </w:r>
      <w:r w:rsidRPr="00812ACF">
        <w:rPr>
          <w:rFonts w:cs="FrankRuehl"/>
          <w:sz w:val="20"/>
          <w:szCs w:val="20"/>
          <w:rtl/>
          <w:lang w:eastAsia="en-US"/>
        </w:rPr>
        <w:t>ו-ז).</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2</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 xml:space="preserve">מחסום כנגד קובלנות המתנהלות בצורה בלתי יעילה או באופן טורדני הוסיף המחוקק בסעיף </w:t>
      </w:r>
      <w:r w:rsidRPr="00812ACF">
        <w:rPr>
          <w:rFonts w:cs="FrankRuehl"/>
          <w:sz w:val="20"/>
          <w:szCs w:val="20"/>
          <w:lang w:eastAsia="en-US"/>
        </w:rPr>
        <w:t>73</w:t>
      </w:r>
      <w:r w:rsidRPr="00812ACF">
        <w:rPr>
          <w:rFonts w:cs="FrankRuehl"/>
          <w:sz w:val="20"/>
          <w:szCs w:val="20"/>
          <w:rtl/>
          <w:lang w:eastAsia="en-US"/>
        </w:rPr>
        <w:t>ל</w:t>
      </w:r>
      <w:hyperlink r:id="rId28"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xml:space="preserve">, אגב חיוב הקובל להסתייע בעורך דין. בלם נוסף, כנגד קובלנות שווא, מצוי בסעיף </w:t>
      </w:r>
      <w:r w:rsidRPr="00812ACF">
        <w:rPr>
          <w:rFonts w:cs="FrankRuehl"/>
          <w:sz w:val="20"/>
          <w:szCs w:val="20"/>
          <w:lang w:eastAsia="en-US"/>
        </w:rPr>
        <w:t>80</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ל</w:t>
      </w:r>
      <w:hyperlink r:id="rId29" w:history="1">
        <w:r w:rsidRPr="00812ACF">
          <w:rPr>
            <w:rStyle w:val="Hyperlink"/>
            <w:rFonts w:cs="FrankRuehl"/>
            <w:sz w:val="20"/>
            <w:szCs w:val="20"/>
            <w:rtl/>
            <w:lang w:eastAsia="en-US"/>
          </w:rPr>
          <w:t>חוק העונשין</w:t>
        </w:r>
      </w:hyperlink>
      <w:r w:rsidRPr="00812ACF">
        <w:rPr>
          <w:rFonts w:cs="FrankRuehl"/>
          <w:sz w:val="20"/>
          <w:szCs w:val="20"/>
          <w:rtl/>
          <w:lang w:eastAsia="en-US"/>
        </w:rPr>
        <w:t>, תשל"ז-</w:t>
      </w:r>
      <w:r w:rsidRPr="00812ACF">
        <w:rPr>
          <w:rFonts w:cs="FrankRuehl"/>
          <w:sz w:val="20"/>
          <w:szCs w:val="20"/>
          <w:lang w:eastAsia="en-US"/>
        </w:rPr>
        <w:t>1977</w:t>
      </w:r>
      <w:r w:rsidRPr="00812ACF">
        <w:rPr>
          <w:rFonts w:cs="FrankRuehl"/>
          <w:sz w:val="20"/>
          <w:szCs w:val="20"/>
          <w:rtl/>
          <w:lang w:eastAsia="en-US"/>
        </w:rPr>
        <w:t>, לפיו ניתן לחייב את הקובל שלקובלנתו לא היה יסוד (או בנסיבות אחרות המצדיקות זאת) לשלם לנאשם שזוכה את הוצאות</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 xml:space="preserve">הגנתו ופיצוי על מעצרו או מאסרו, ובסעיף </w:t>
      </w:r>
      <w:r w:rsidRPr="00812ACF">
        <w:rPr>
          <w:rFonts w:cs="FrankRuehl"/>
          <w:sz w:val="20"/>
          <w:szCs w:val="20"/>
          <w:lang w:eastAsia="en-US"/>
        </w:rPr>
        <w:t>81</w:t>
      </w:r>
      <w:r w:rsidRPr="00812ACF">
        <w:rPr>
          <w:rFonts w:cs="FrankRuehl"/>
          <w:sz w:val="20"/>
          <w:szCs w:val="20"/>
          <w:rtl/>
          <w:lang w:eastAsia="en-US"/>
        </w:rPr>
        <w:t>ל</w:t>
      </w:r>
      <w:hyperlink r:id="rId30" w:history="1">
        <w:r w:rsidRPr="00812ACF">
          <w:rPr>
            <w:rStyle w:val="Hyperlink"/>
            <w:rFonts w:cs="FrankRuehl"/>
            <w:sz w:val="20"/>
            <w:szCs w:val="20"/>
            <w:rtl/>
            <w:lang w:eastAsia="en-US"/>
          </w:rPr>
          <w:t>חוק העונשין</w:t>
        </w:r>
      </w:hyperlink>
      <w:r w:rsidRPr="00812ACF">
        <w:rPr>
          <w:rFonts w:cs="FrankRuehl"/>
          <w:sz w:val="20"/>
          <w:szCs w:val="20"/>
          <w:rtl/>
          <w:lang w:eastAsia="en-US"/>
        </w:rPr>
        <w:t xml:space="preserve">, לפיו ניתן לחייב את המתלונן, שהגיש תלונה בקלות ראש או לשם </w:t>
      </w:r>
      <w:proofErr w:type="spellStart"/>
      <w:r w:rsidRPr="00812ACF">
        <w:rPr>
          <w:rFonts w:cs="FrankRuehl"/>
          <w:sz w:val="20"/>
          <w:szCs w:val="20"/>
          <w:rtl/>
          <w:lang w:eastAsia="en-US"/>
        </w:rPr>
        <w:t>קינטור</w:t>
      </w:r>
      <w:proofErr w:type="spellEnd"/>
      <w:r w:rsidRPr="00812ACF">
        <w:rPr>
          <w:rFonts w:cs="FrankRuehl"/>
          <w:sz w:val="20"/>
          <w:szCs w:val="20"/>
          <w:rtl/>
          <w:lang w:eastAsia="en-US"/>
        </w:rPr>
        <w:t xml:space="preserve"> או ללא יסוד, בתשלום הוצאות הנאשם והתביעה. בנוסף לכך מסתכן הקובל שהגיש קבילת נפל בזדון, ובלי סיבה סבירה ומסתברת, בתביעת פיצויים בעילת נגישה לפי סעיף </w:t>
      </w:r>
      <w:r w:rsidRPr="00812ACF">
        <w:rPr>
          <w:rFonts w:cs="FrankRuehl"/>
          <w:sz w:val="20"/>
          <w:szCs w:val="20"/>
          <w:lang w:eastAsia="en-US"/>
        </w:rPr>
        <w:t>60</w:t>
      </w:r>
      <w:r w:rsidRPr="00812ACF">
        <w:rPr>
          <w:rFonts w:cs="FrankRuehl"/>
          <w:sz w:val="20"/>
          <w:szCs w:val="20"/>
          <w:rtl/>
          <w:lang w:eastAsia="en-US"/>
        </w:rPr>
        <w:t xml:space="preserve">של </w:t>
      </w:r>
      <w:hyperlink r:id="rId31" w:history="1">
        <w:r w:rsidRPr="00812ACF">
          <w:rPr>
            <w:rStyle w:val="Hyperlink"/>
            <w:rFonts w:cs="FrankRuehl"/>
            <w:sz w:val="20"/>
            <w:szCs w:val="20"/>
            <w:rtl/>
            <w:lang w:eastAsia="en-US"/>
          </w:rPr>
          <w:t>פקודת הנזיקין</w:t>
        </w:r>
      </w:hyperlink>
      <w:r w:rsidRPr="00812ACF">
        <w:rPr>
          <w:rFonts w:cs="FrankRuehl"/>
          <w:sz w:val="20"/>
          <w:szCs w:val="20"/>
          <w:rtl/>
          <w:lang w:eastAsia="en-US"/>
        </w:rPr>
        <w:t xml:space="preserve"> [נוסח חדש]. חסרונם של בלמים אלה הוא שהם תרופה לאחר מעשה: אין בכוחם למנוע </w:t>
      </w:r>
      <w:proofErr w:type="spellStart"/>
      <w:r w:rsidRPr="00812ACF">
        <w:rPr>
          <w:rFonts w:cs="FrankRuehl"/>
          <w:sz w:val="20"/>
          <w:szCs w:val="20"/>
          <w:rtl/>
          <w:lang w:eastAsia="en-US"/>
        </w:rPr>
        <w:t>מיטרד</w:t>
      </w:r>
      <w:proofErr w:type="spellEnd"/>
      <w:r w:rsidRPr="00812ACF">
        <w:rPr>
          <w:rFonts w:cs="FrankRuehl"/>
          <w:sz w:val="20"/>
          <w:szCs w:val="20"/>
          <w:rtl/>
          <w:lang w:eastAsia="en-US"/>
        </w:rPr>
        <w:t xml:space="preserve"> מהנאשם, אבל כוח הרתעה מסוים יש בהם (</w:t>
      </w:r>
      <w:r w:rsidRPr="00812ACF">
        <w:rPr>
          <w:rFonts w:cs="FrankRuehl"/>
          <w:sz w:val="20"/>
          <w:szCs w:val="20"/>
          <w:lang w:eastAsia="en-US"/>
        </w:rPr>
        <w:t xml:space="preserve"> 147</w:t>
      </w:r>
      <w:r w:rsidRPr="00812ACF">
        <w:rPr>
          <w:rFonts w:cs="FrankRuehl"/>
          <w:sz w:val="20"/>
          <w:szCs w:val="20"/>
          <w:rtl/>
          <w:lang w:eastAsia="en-US"/>
        </w:rPr>
        <w:t>א-ג).</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 xml:space="preserve">ד. (1) על הקובלנה הפרטית חלות הוראות </w:t>
      </w:r>
      <w:hyperlink r:id="rId32"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 xml:space="preserve"> בהסתייגויות האמורות בסעיף </w:t>
      </w:r>
      <w:r w:rsidRPr="00812ACF">
        <w:rPr>
          <w:rFonts w:cs="FrankRuehl"/>
          <w:sz w:val="20"/>
          <w:szCs w:val="20"/>
          <w:lang w:eastAsia="en-US"/>
        </w:rPr>
        <w:t>70</w:t>
      </w:r>
      <w:r w:rsidRPr="00812ACF">
        <w:rPr>
          <w:rFonts w:cs="FrankRuehl"/>
          <w:sz w:val="20"/>
          <w:szCs w:val="20"/>
          <w:rtl/>
          <w:lang w:eastAsia="en-US"/>
        </w:rPr>
        <w:t>לחוק זה (</w:t>
      </w:r>
      <w:r w:rsidRPr="00812ACF">
        <w:rPr>
          <w:rFonts w:cs="FrankRuehl"/>
          <w:sz w:val="20"/>
          <w:szCs w:val="20"/>
          <w:lang w:eastAsia="en-US"/>
        </w:rPr>
        <w:t xml:space="preserve"> 147</w:t>
      </w:r>
      <w:r w:rsidRPr="00812ACF">
        <w:rPr>
          <w:rFonts w:cs="FrankRuehl"/>
          <w:sz w:val="20"/>
          <w:szCs w:val="20"/>
          <w:rtl/>
          <w:lang w:eastAsia="en-US"/>
        </w:rPr>
        <w:t>א-ג)</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2</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 xml:space="preserve">סעיף </w:t>
      </w:r>
      <w:r w:rsidRPr="00812ACF">
        <w:rPr>
          <w:rFonts w:cs="FrankRuehl"/>
          <w:sz w:val="20"/>
          <w:szCs w:val="20"/>
          <w:lang w:eastAsia="en-US"/>
        </w:rPr>
        <w:t>70</w:t>
      </w:r>
      <w:r w:rsidRPr="00812ACF">
        <w:rPr>
          <w:rFonts w:cs="FrankRuehl"/>
          <w:sz w:val="20"/>
          <w:szCs w:val="20"/>
          <w:rtl/>
          <w:lang w:eastAsia="en-US"/>
        </w:rPr>
        <w:t xml:space="preserve">לחוק, המדבר על "שינויים לפי </w:t>
      </w:r>
      <w:proofErr w:type="spellStart"/>
      <w:r w:rsidRPr="00812ACF">
        <w:rPr>
          <w:rFonts w:cs="FrankRuehl"/>
          <w:sz w:val="20"/>
          <w:szCs w:val="20"/>
          <w:rtl/>
          <w:lang w:eastAsia="en-US"/>
        </w:rPr>
        <w:t>הענין</w:t>
      </w:r>
      <w:proofErr w:type="spellEnd"/>
      <w:r w:rsidRPr="00812ACF">
        <w:rPr>
          <w:rFonts w:cs="FrankRuehl"/>
          <w:sz w:val="20"/>
          <w:szCs w:val="20"/>
          <w:rtl/>
          <w:lang w:eastAsia="en-US"/>
        </w:rPr>
        <w:t>" ועל "כוונה אחרת משתמעת", משאיר</w:t>
      </w:r>
      <w:r w:rsidRPr="00812ACF">
        <w:rPr>
          <w:rFonts w:cs="FrankRuehl"/>
          <w:sz w:val="20"/>
          <w:szCs w:val="20"/>
          <w:lang w:eastAsia="en-US"/>
        </w:rPr>
        <w:t xml:space="preserve"> </w:t>
      </w:r>
      <w:r w:rsidRPr="00812ACF">
        <w:rPr>
          <w:rFonts w:cs="FrankRuehl"/>
          <w:sz w:val="20"/>
          <w:szCs w:val="20"/>
          <w:rtl/>
          <w:lang w:eastAsia="en-US"/>
        </w:rPr>
        <w:t>רקמה פתוחה, המאפשרת לארוג לתוכה אותם תכנים התואמים את המדיניות המשפטית הרצויה בהתאם למהותה ולאופייה של הקובלנה הפרטית ובהתחשב במטרותיה, מחד, ובמטרות המעצר עד תום ההליכים, מאידך (</w:t>
      </w:r>
      <w:r w:rsidRPr="00812ACF">
        <w:rPr>
          <w:rFonts w:cs="FrankRuehl"/>
          <w:sz w:val="20"/>
          <w:szCs w:val="20"/>
          <w:lang w:eastAsia="en-US"/>
        </w:rPr>
        <w:t xml:space="preserve"> 140</w:t>
      </w:r>
      <w:r w:rsidRPr="00812ACF">
        <w:rPr>
          <w:rFonts w:cs="FrankRuehl"/>
          <w:sz w:val="20"/>
          <w:szCs w:val="20"/>
          <w:rtl/>
          <w:lang w:eastAsia="en-US"/>
        </w:rPr>
        <w:t>ו)</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w:t>
      </w:r>
      <w:r w:rsidRPr="00812ACF">
        <w:rPr>
          <w:rFonts w:cs="FrankRuehl"/>
          <w:sz w:val="20"/>
          <w:szCs w:val="20"/>
          <w:lang w:eastAsia="en-US"/>
        </w:rPr>
        <w:t>3</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את שאלת הסמכות לעצור את הנאשם עד תום ההליכים בקובלנה פרטית יש לבחון תוך התייחסות לאופייה ולטיבה של הקובלנה הפרטית אך מנקודת המוצא שהקובלנה הפרטית, בגבולות מסוימים, רצויה היא למחוקק. אין מקום לכן לראות בה "בת חורגת" בלתי רצויה ובלתי רצינית, בשל כך שהתביעה לא מצאה להגיש אישום, בין מטעמים של היעדר ראיות מספיקות לכאורה לתלונה ובין מטעמים של היעדר עניין לציבור, או כי לא מצאה ליטול את ניהול הקובלנה לידיה לאחר שקיבלה הודעה על הגשתה (</w:t>
      </w:r>
      <w:r w:rsidRPr="00812ACF">
        <w:rPr>
          <w:rFonts w:cs="FrankRuehl"/>
          <w:sz w:val="20"/>
          <w:szCs w:val="20"/>
          <w:lang w:eastAsia="en-US"/>
        </w:rPr>
        <w:t xml:space="preserve"> 147</w:t>
      </w:r>
      <w:r w:rsidRPr="00812ACF">
        <w:rPr>
          <w:rFonts w:cs="FrankRuehl"/>
          <w:sz w:val="20"/>
          <w:szCs w:val="20"/>
          <w:rtl/>
          <w:lang w:eastAsia="en-US"/>
        </w:rPr>
        <w:t>ה-ו).</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w:t>
      </w:r>
      <w:r w:rsidRPr="00812ACF">
        <w:rPr>
          <w:rFonts w:cs="FrankRuehl"/>
          <w:sz w:val="20"/>
          <w:szCs w:val="20"/>
          <w:lang w:eastAsia="en-US"/>
        </w:rPr>
        <w:t>4</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השיקול, שהתלונה לא נמצאה ראויה לאימוץ על ידי התביעה הכללית, כבר</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נשקל על ידי המחוקק, והוא עשה את בחירתו לטובת הקובלנה הפרטית</w:t>
      </w:r>
      <w:r w:rsidRPr="00812ACF">
        <w:rPr>
          <w:rFonts w:cs="FrankRuehl"/>
          <w:sz w:val="20"/>
          <w:szCs w:val="20"/>
          <w:lang w:eastAsia="en-US"/>
        </w:rPr>
        <w:t xml:space="preserve">. </w:t>
      </w:r>
      <w:r w:rsidRPr="00812ACF">
        <w:rPr>
          <w:rFonts w:cs="FrankRuehl"/>
          <w:sz w:val="20"/>
          <w:szCs w:val="20"/>
          <w:rtl/>
          <w:lang w:eastAsia="en-US"/>
        </w:rPr>
        <w:t>בחינתה של השאלה צריכה להיעשות לאור אופייה וטיבה של הקובלנה הפרטית לא רק מההיבט של עניינו של הקובל אלא גם מהיבטים בעלי חשיבות ציבורית וערכית - שהעבריין ייתן את הדין על מעשיו, שהציבור לא יאבד את האמונה באכיפת החוק וכי כל פרט מתוכו, והקורבן במיוחד, יידע כי בכוחו לתרום לכך; ויתרה מכך: בעבירות מסוימות, שיש בהן פגיעה בציבור כולו, מעורבותו של הפרט דווקא, כקובל פרטי, דרושה בעיני המחוקק לשם השלטתו של החוק (</w:t>
      </w:r>
      <w:r w:rsidRPr="00812ACF">
        <w:rPr>
          <w:rFonts w:cs="FrankRuehl"/>
          <w:sz w:val="20"/>
          <w:szCs w:val="20"/>
          <w:lang w:eastAsia="en-US"/>
        </w:rPr>
        <w:t xml:space="preserve"> 147</w:t>
      </w:r>
      <w:r w:rsidRPr="00812ACF">
        <w:rPr>
          <w:rFonts w:cs="FrankRuehl"/>
          <w:sz w:val="20"/>
          <w:szCs w:val="20"/>
          <w:rtl/>
          <w:lang w:eastAsia="en-US"/>
        </w:rPr>
        <w:t>ז-</w:t>
      </w:r>
      <w:r w:rsidRPr="00812ACF">
        <w:rPr>
          <w:rFonts w:cs="FrankRuehl"/>
          <w:sz w:val="20"/>
          <w:szCs w:val="20"/>
          <w:lang w:eastAsia="en-US"/>
        </w:rPr>
        <w:t xml:space="preserve"> 148</w:t>
      </w:r>
      <w:r w:rsidRPr="00812ACF">
        <w:rPr>
          <w:rFonts w:cs="FrankRuehl"/>
          <w:sz w:val="20"/>
          <w:szCs w:val="20"/>
          <w:rtl/>
          <w:lang w:eastAsia="en-US"/>
        </w:rPr>
        <w:t>א).</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 xml:space="preserve">ה. (1) מעצר בשל חשש לשיבוש הליכי משפט על ידי הטרדת עדים הוא אחת מעילות המעצר לפי סעיף </w:t>
      </w:r>
      <w:r w:rsidRPr="00812ACF">
        <w:rPr>
          <w:rFonts w:cs="FrankRuehl"/>
          <w:sz w:val="20"/>
          <w:szCs w:val="20"/>
          <w:lang w:eastAsia="en-US"/>
        </w:rPr>
        <w:t>21</w:t>
      </w:r>
      <w:r w:rsidRPr="00812ACF">
        <w:rPr>
          <w:rFonts w:cs="FrankRuehl"/>
          <w:sz w:val="20"/>
          <w:szCs w:val="20"/>
          <w:rtl/>
          <w:lang w:eastAsia="en-US"/>
        </w:rPr>
        <w:t xml:space="preserve">א(א)(1) של </w:t>
      </w:r>
      <w:hyperlink r:id="rId33"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xml:space="preserve"> (</w:t>
      </w:r>
      <w:r w:rsidRPr="00812ACF">
        <w:rPr>
          <w:rFonts w:cs="FrankRuehl"/>
          <w:sz w:val="20"/>
          <w:szCs w:val="20"/>
          <w:lang w:eastAsia="en-US"/>
        </w:rPr>
        <w:t xml:space="preserve"> 148</w:t>
      </w:r>
      <w:r w:rsidRPr="00812ACF">
        <w:rPr>
          <w:rFonts w:cs="FrankRuehl"/>
          <w:sz w:val="20"/>
          <w:szCs w:val="20"/>
          <w:rtl/>
          <w:lang w:eastAsia="en-US"/>
        </w:rPr>
        <w:t>ה-ו).</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2</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מטרתו של המעצר בעילת שיבוש הליכי משפט היא להבטיח קיומו של הליך</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משפטי תקין, שבו יוכלו העדים להעיד באופן חופשי, ללא שיופעלו עליהם אמצעים פסולים - לא אמצעי פיתוי ולא אמצעי הטרדה, לחץ, הפחדה והטלת אימה. זהו אינטרס ציבורי בעל חשיבות עליונה, ואין זה משנה אם מדובר בהליך על פי כתב אישום או בהליך על פי קובלנה פרטית. אינטרס זה, ולא חשיבותה או אי חשיבותה של הקובלנה הפרטית שאינה חייבת לעבור את מבחן האינטרס הציבורי להגשת כתב אישום על ידי התביעה, הוא הראוי להגנה על ידי הפעלת סמכות המעצר במקרה המתאים (</w:t>
      </w:r>
      <w:r w:rsidRPr="00812ACF">
        <w:rPr>
          <w:rFonts w:cs="FrankRuehl"/>
          <w:sz w:val="20"/>
          <w:szCs w:val="20"/>
          <w:lang w:eastAsia="en-US"/>
        </w:rPr>
        <w:t xml:space="preserve"> 149</w:t>
      </w:r>
      <w:r w:rsidRPr="00812ACF">
        <w:rPr>
          <w:rFonts w:cs="FrankRuehl"/>
          <w:sz w:val="20"/>
          <w:szCs w:val="20"/>
          <w:rtl/>
          <w:lang w:eastAsia="en-US"/>
        </w:rPr>
        <w:t>א-ב).</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w:t>
      </w:r>
      <w:r w:rsidRPr="00812ACF">
        <w:rPr>
          <w:rFonts w:cs="FrankRuehl"/>
          <w:sz w:val="20"/>
          <w:szCs w:val="20"/>
          <w:lang w:eastAsia="en-US"/>
        </w:rPr>
        <w:t>3</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 xml:space="preserve">כשיבוא בית המשפט לשקול את בקשת המעצר במקרה קונקרטי זה או אחר, יהיה עליו לנהוג בה זהירות רבה, מעבר למידת הזהירות הגבוהה שהוא חייב בה בדרך כלל בשל הפגיעה החמורה של המעצר בחירותו של הנאשם. כל אלה אינם יורדים לסמכות בית המשפט, אלא לשימוש בשיקול דעתו, החייב להיעשות במידת האחריות </w:t>
      </w:r>
      <w:proofErr w:type="spellStart"/>
      <w:r w:rsidRPr="00812ACF">
        <w:rPr>
          <w:rFonts w:cs="FrankRuehl"/>
          <w:sz w:val="20"/>
          <w:szCs w:val="20"/>
          <w:rtl/>
          <w:lang w:eastAsia="en-US"/>
        </w:rPr>
        <w:t>המירבית</w:t>
      </w:r>
      <w:proofErr w:type="spellEnd"/>
      <w:r w:rsidRPr="00812ACF">
        <w:rPr>
          <w:rFonts w:cs="FrankRuehl"/>
          <w:sz w:val="20"/>
          <w:szCs w:val="20"/>
          <w:rtl/>
          <w:lang w:eastAsia="en-US"/>
        </w:rPr>
        <w:t xml:space="preserve"> הנדרשת באופן מיוחד מכך שמדובר בקובלנה פרטית (</w:t>
      </w:r>
      <w:r w:rsidRPr="00812ACF">
        <w:rPr>
          <w:rFonts w:cs="FrankRuehl"/>
          <w:sz w:val="20"/>
          <w:szCs w:val="20"/>
          <w:lang w:eastAsia="en-US"/>
        </w:rPr>
        <w:t xml:space="preserve"> 149</w:t>
      </w:r>
      <w:r w:rsidRPr="00812ACF">
        <w:rPr>
          <w:rFonts w:cs="FrankRuehl"/>
          <w:sz w:val="20"/>
          <w:szCs w:val="20"/>
          <w:rtl/>
          <w:lang w:eastAsia="en-US"/>
        </w:rPr>
        <w:t>ב-ג, ד).</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 xml:space="preserve">ו. (1) על מנת להורות על מעצר עד תום ההליכים על בית המשפט להשתכנע, שקיימות ראיות לכאורה להוכחת אשמתו של הנאשם בעבירה המיוחסת לו. בנוסף לכך עליו להשתכנע, שקיימת עילה למעצרו כאמור בסעיף </w:t>
      </w:r>
      <w:r w:rsidRPr="00812ACF">
        <w:rPr>
          <w:rFonts w:cs="FrankRuehl"/>
          <w:sz w:val="20"/>
          <w:szCs w:val="20"/>
          <w:lang w:eastAsia="en-US"/>
        </w:rPr>
        <w:t>21</w:t>
      </w:r>
      <w:r w:rsidRPr="00812ACF">
        <w:rPr>
          <w:rFonts w:cs="FrankRuehl"/>
          <w:sz w:val="20"/>
          <w:szCs w:val="20"/>
          <w:rtl/>
          <w:lang w:eastAsia="en-US"/>
        </w:rPr>
        <w:t>א ל</w:t>
      </w:r>
      <w:hyperlink r:id="rId34"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xml:space="preserve">, וכי אין תחליף למעצר זה (סעיף </w:t>
      </w:r>
      <w:r w:rsidRPr="00812ACF">
        <w:rPr>
          <w:rFonts w:cs="FrankRuehl"/>
          <w:sz w:val="20"/>
          <w:szCs w:val="20"/>
          <w:lang w:eastAsia="en-US"/>
        </w:rPr>
        <w:t>21</w:t>
      </w:r>
      <w:r w:rsidRPr="00812ACF">
        <w:rPr>
          <w:rFonts w:cs="FrankRuehl"/>
          <w:sz w:val="20"/>
          <w:szCs w:val="20"/>
          <w:rtl/>
          <w:lang w:eastAsia="en-US"/>
        </w:rPr>
        <w:t>א(ד) לחוק) (</w:t>
      </w:r>
      <w:r w:rsidRPr="00812ACF">
        <w:rPr>
          <w:rFonts w:cs="FrankRuehl"/>
          <w:sz w:val="20"/>
          <w:szCs w:val="20"/>
          <w:lang w:eastAsia="en-US"/>
        </w:rPr>
        <w:t xml:space="preserve"> 151</w:t>
      </w:r>
      <w:r w:rsidRPr="00812ACF">
        <w:rPr>
          <w:rFonts w:cs="FrankRuehl"/>
          <w:sz w:val="20"/>
          <w:szCs w:val="20"/>
          <w:rtl/>
          <w:lang w:eastAsia="en-US"/>
        </w:rPr>
        <w:t>ה-ו).</w:t>
      </w:r>
    </w:p>
    <w:p w:rsidR="00812ACF" w:rsidRPr="00812ACF" w:rsidRDefault="00812ACF" w:rsidP="00812ACF">
      <w:pPr>
        <w:tabs>
          <w:tab w:val="left" w:pos="288"/>
          <w:tab w:val="left" w:pos="720"/>
          <w:tab w:val="left" w:pos="1296"/>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2</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כשמוגש כתב אישום על ידי המדינה באמצעות תובע, מצב הדברים הוא, שנערכה קודם לכן חקירה על ידי המשטרה</w:t>
      </w:r>
      <w:r w:rsidRPr="00812ACF">
        <w:rPr>
          <w:rFonts w:cs="FrankRuehl"/>
          <w:sz w:val="20"/>
          <w:szCs w:val="20"/>
          <w:lang w:eastAsia="en-US"/>
        </w:rPr>
        <w:t xml:space="preserve"> </w:t>
      </w:r>
      <w:r w:rsidRPr="00812ACF">
        <w:rPr>
          <w:rFonts w:cs="FrankRuehl"/>
          <w:sz w:val="20"/>
          <w:szCs w:val="20"/>
          <w:rtl/>
          <w:lang w:eastAsia="en-US"/>
        </w:rPr>
        <w:t>ונמצא בידי התביעה חומר החקירה. לבית המשפט קיימת אפשרות לעיין בחומר זה וכך להיווכח, אם קיימות ראיות לכאורה כנגד הנאשם. הדרך לברר אם קיימות ראיות לכאורה סלולה היא. לא כך, בדרך כלל, המצב במקרה של קובלנה פרטית (</w:t>
      </w:r>
      <w:r w:rsidRPr="00812ACF">
        <w:rPr>
          <w:rFonts w:cs="FrankRuehl"/>
          <w:sz w:val="20"/>
          <w:szCs w:val="20"/>
          <w:lang w:eastAsia="en-US"/>
        </w:rPr>
        <w:t xml:space="preserve"> 151</w:t>
      </w:r>
      <w:r w:rsidRPr="00812ACF">
        <w:rPr>
          <w:rFonts w:cs="FrankRuehl"/>
          <w:sz w:val="20"/>
          <w:szCs w:val="20"/>
          <w:rtl/>
          <w:lang w:eastAsia="en-US"/>
        </w:rPr>
        <w:t>ז)</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w:t>
      </w:r>
      <w:r w:rsidRPr="00812ACF">
        <w:rPr>
          <w:rFonts w:cs="FrankRuehl"/>
          <w:sz w:val="20"/>
          <w:szCs w:val="20"/>
          <w:lang w:eastAsia="en-US"/>
        </w:rPr>
        <w:t>3</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לקובל פרטי אין הכלים והסמכויות שבידי</w:t>
      </w:r>
      <w:r w:rsidRPr="00812ACF">
        <w:rPr>
          <w:rFonts w:cs="FrankRuehl"/>
          <w:sz w:val="20"/>
          <w:szCs w:val="20"/>
          <w:lang w:eastAsia="en-US"/>
        </w:rPr>
        <w:t xml:space="preserve"> </w:t>
      </w:r>
      <w:r w:rsidRPr="00812ACF">
        <w:rPr>
          <w:rFonts w:cs="FrankRuehl"/>
          <w:sz w:val="20"/>
          <w:szCs w:val="20"/>
          <w:rtl/>
          <w:lang w:eastAsia="en-US"/>
        </w:rPr>
        <w:t xml:space="preserve">המשטרה לניהול חקירה קודם הגשת הקובלנה. מטבע הדברים, עלול להיווצר מצב, שעם הגשת הקובלנה הפרטית אין בידי הקובל חומר ראיות בכתובים, שאותו יוכל להציג לפני בית המשפט. במקרים אלה, כשנדרש בית המשפט להחליט אם קיימות ראיות לכאורה להוכחת האשמה על פי הקובלנה, מן ההכרח שתימצא דרך להביא לידיעת בית המשפט, מהו חומר הראיות העומד נגד הנאשם. הדבר עלול להיות כרוך בקשיים, שכן את </w:t>
      </w:r>
      <w:proofErr w:type="spellStart"/>
      <w:r w:rsidRPr="00812ACF">
        <w:rPr>
          <w:rFonts w:cs="FrankRuehl"/>
          <w:sz w:val="20"/>
          <w:szCs w:val="20"/>
          <w:rtl/>
          <w:lang w:eastAsia="en-US"/>
        </w:rPr>
        <w:t>גירסת</w:t>
      </w:r>
      <w:proofErr w:type="spellEnd"/>
      <w:r w:rsidRPr="00812ACF">
        <w:rPr>
          <w:rFonts w:cs="FrankRuehl"/>
          <w:sz w:val="20"/>
          <w:szCs w:val="20"/>
          <w:rtl/>
          <w:lang w:eastAsia="en-US"/>
        </w:rPr>
        <w:t xml:space="preserve"> הנאשם ועדיו יקשה על הקובל להביא לפני בית המשפט, על מנת שזה יוכל לתת דעתו על מערכת העובדות כולה (</w:t>
      </w:r>
      <w:r w:rsidRPr="00812ACF">
        <w:rPr>
          <w:rFonts w:cs="FrankRuehl"/>
          <w:sz w:val="20"/>
          <w:szCs w:val="20"/>
          <w:lang w:eastAsia="en-US"/>
        </w:rPr>
        <w:t xml:space="preserve"> 151</w:t>
      </w:r>
      <w:r w:rsidRPr="00812ACF">
        <w:rPr>
          <w:rFonts w:cs="FrankRuehl"/>
          <w:sz w:val="20"/>
          <w:szCs w:val="20"/>
          <w:rtl/>
          <w:lang w:eastAsia="en-US"/>
        </w:rPr>
        <w:t>ז-</w:t>
      </w:r>
      <w:r w:rsidRPr="00812ACF">
        <w:rPr>
          <w:rFonts w:cs="FrankRuehl"/>
          <w:sz w:val="20"/>
          <w:szCs w:val="20"/>
          <w:lang w:eastAsia="en-US"/>
        </w:rPr>
        <w:t xml:space="preserve"> 152</w:t>
      </w:r>
      <w:r w:rsidRPr="00812ACF">
        <w:rPr>
          <w:rFonts w:cs="FrankRuehl"/>
          <w:sz w:val="20"/>
          <w:szCs w:val="20"/>
          <w:rtl/>
          <w:lang w:eastAsia="en-US"/>
        </w:rPr>
        <w:t>ג).</w:t>
      </w:r>
    </w:p>
    <w:p w:rsidR="00812ACF" w:rsidRPr="00812ACF" w:rsidRDefault="00812ACF" w:rsidP="00812ACF">
      <w:pPr>
        <w:tabs>
          <w:tab w:val="left" w:pos="288"/>
          <w:tab w:val="left" w:pos="720"/>
          <w:tab w:val="left" w:pos="1296"/>
        </w:tabs>
        <w:spacing w:after="80" w:line="260" w:lineRule="exact"/>
        <w:jc w:val="center"/>
        <w:rPr>
          <w:rFonts w:cs="FrankRuehl"/>
          <w:sz w:val="20"/>
          <w:szCs w:val="20"/>
          <w:rtl/>
          <w:lang w:eastAsia="en-US"/>
        </w:rPr>
      </w:pPr>
      <w:r w:rsidRPr="00812ACF">
        <w:rPr>
          <w:rFonts w:cs="FrankRuehl"/>
          <w:sz w:val="20"/>
          <w:szCs w:val="20"/>
          <w:rtl/>
          <w:lang w:eastAsia="en-US"/>
        </w:rPr>
        <w:t>(</w:t>
      </w:r>
      <w:r w:rsidRPr="00812ACF">
        <w:rPr>
          <w:rFonts w:cs="FrankRuehl"/>
          <w:sz w:val="20"/>
          <w:szCs w:val="20"/>
          <w:lang w:eastAsia="en-US"/>
        </w:rPr>
        <w:t>4</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בדרך כלל ישקול בית המשפט תחילה, אם, מעיקרו של דבר, ראוי המקרה למעצר עד תום ההליכים, ואם לאו - לא יתחבט ולא יידרש להכריע באלה אם קיימות ראיות לכאורה. כאשר יסבור שההחלטה בדבר המעצר עד תום ההליכים תלויה בשאלה אם קיימות ראיות כאלה, יאפשר לקובל להביא לפניו ראיות בכתב - אם על ידי תצהירים או בדרך אחרת אשר ימצא לנכון (</w:t>
      </w:r>
      <w:r w:rsidRPr="00812ACF">
        <w:rPr>
          <w:rFonts w:cs="FrankRuehl"/>
          <w:sz w:val="20"/>
          <w:szCs w:val="20"/>
          <w:lang w:eastAsia="en-US"/>
        </w:rPr>
        <w:t xml:space="preserve"> 152</w:t>
      </w:r>
      <w:r w:rsidRPr="00812ACF">
        <w:rPr>
          <w:rFonts w:cs="FrankRuehl"/>
          <w:sz w:val="20"/>
          <w:szCs w:val="20"/>
          <w:rtl/>
          <w:lang w:eastAsia="en-US"/>
        </w:rPr>
        <w:t>ג-ד).</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rtl/>
          <w:lang w:eastAsia="en-US"/>
        </w:rPr>
      </w:pP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w:t>
      </w:r>
      <w:r w:rsidRPr="00812ACF">
        <w:rPr>
          <w:rFonts w:cs="FrankRuehl"/>
          <w:sz w:val="20"/>
          <w:szCs w:val="20"/>
          <w:lang w:eastAsia="en-US"/>
        </w:rPr>
        <w:t>5</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בבדיקת התשתית העובדתית עליה מבוססת הבקשה ינהג בית המשפט בקפדנות יתר בקובלנה שלא עברה את מבחן הסף על ידי רשויות החקירה והתביעה. יהיה עליו גם לתת את דעתו לחשש, שמא הקובלנה מוגשת מתוך מניע פסול, ולבחון זאת היטב. כנגד אלה יהיה עליו לשקול טיבה, מטרתה ומשקל חשיבותה של עילת המעצר שמדובר בה. "שומר הסף" בשאלות הוא בית המשפט, ואם לא נחה דעתו, לא יוציא צו מעצר (</w:t>
      </w:r>
      <w:r w:rsidRPr="00812ACF">
        <w:rPr>
          <w:rFonts w:cs="FrankRuehl"/>
          <w:sz w:val="20"/>
          <w:szCs w:val="20"/>
          <w:lang w:eastAsia="en-US"/>
        </w:rPr>
        <w:t xml:space="preserve"> 149</w:t>
      </w:r>
      <w:r w:rsidRPr="00812ACF">
        <w:rPr>
          <w:rFonts w:cs="FrankRuehl"/>
          <w:sz w:val="20"/>
          <w:szCs w:val="20"/>
          <w:rtl/>
          <w:lang w:eastAsia="en-US"/>
        </w:rPr>
        <w:t>ג).</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6</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בחלק מהמקרים מוגשת הקובלנה הפרטית לאחר שהתובע החליט שאין ראיות</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מספיקות להוכחת האשמה או שאין עניין</w:t>
      </w:r>
      <w:r w:rsidRPr="00812ACF">
        <w:rPr>
          <w:rFonts w:cs="FrankRuehl"/>
          <w:sz w:val="20"/>
          <w:szCs w:val="20"/>
          <w:lang w:eastAsia="en-US"/>
        </w:rPr>
        <w:t xml:space="preserve"> </w:t>
      </w:r>
      <w:r w:rsidRPr="00812ACF">
        <w:rPr>
          <w:rFonts w:cs="FrankRuehl"/>
          <w:sz w:val="20"/>
          <w:szCs w:val="20"/>
          <w:rtl/>
          <w:lang w:eastAsia="en-US"/>
        </w:rPr>
        <w:t>לציבור בהגשת כתב האישום על ידיו. בנסיבות כאלה לא תהיה, ברוב רובם של המקרים, עילה מספקת לעצור את הנאשם עד תום ההליכים (</w:t>
      </w:r>
      <w:r w:rsidRPr="00812ACF">
        <w:rPr>
          <w:rFonts w:cs="FrankRuehl"/>
          <w:sz w:val="20"/>
          <w:szCs w:val="20"/>
          <w:lang w:eastAsia="en-US"/>
        </w:rPr>
        <w:t xml:space="preserve"> 152</w:t>
      </w:r>
      <w:r w:rsidRPr="00812ACF">
        <w:rPr>
          <w:rFonts w:cs="FrankRuehl"/>
          <w:sz w:val="20"/>
          <w:szCs w:val="20"/>
          <w:rtl/>
          <w:lang w:eastAsia="en-US"/>
        </w:rPr>
        <w:t>ה)</w:t>
      </w:r>
      <w:r w:rsidRPr="00812ACF">
        <w:rPr>
          <w:rFonts w:cs="FrankRuehl"/>
          <w:sz w:val="20"/>
          <w:szCs w:val="20"/>
          <w:lang w:eastAsia="en-US"/>
        </w:rPr>
        <w:t>.</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7</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אף כי מוקנית לבית המשפט סמכות לעצור נאשם עד תום ההליכים המשפטיים</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rtl/>
          <w:lang w:eastAsia="en-US"/>
        </w:rPr>
      </w:pPr>
      <w:r w:rsidRPr="00812ACF">
        <w:rPr>
          <w:rFonts w:cs="FrankRuehl"/>
          <w:sz w:val="20"/>
          <w:szCs w:val="20"/>
          <w:rtl/>
          <w:lang w:eastAsia="en-US"/>
        </w:rPr>
        <w:t>בהליך קובלנה פרטית, מטבע הדברים, רק במקרים מיוחדים ונדירים יהיה זה מוצדק לעשות כן. ראוי להתריע מפני ניצול לרעה של אפשרות זו על ידי הגשת בקשות למעצר עד תום ההליכים על ידי קובלים, ללא שיש לכך כל הצדקה. עצם הגשת הבקשה כאמור והצורך בהתדיינות בה מצד נאשם יש בהם הטרדה ואי נוחות רבים, אפילו אם בסופו של דבר תידחה הבקשה (</w:t>
      </w:r>
      <w:r w:rsidRPr="00812ACF">
        <w:rPr>
          <w:rFonts w:cs="FrankRuehl"/>
          <w:sz w:val="20"/>
          <w:szCs w:val="20"/>
          <w:lang w:eastAsia="en-US"/>
        </w:rPr>
        <w:t xml:space="preserve"> 152</w:t>
      </w:r>
      <w:r w:rsidRPr="00812ACF">
        <w:rPr>
          <w:rFonts w:cs="FrankRuehl"/>
          <w:sz w:val="20"/>
          <w:szCs w:val="20"/>
          <w:rtl/>
          <w:lang w:eastAsia="en-US"/>
        </w:rPr>
        <w:t>ז-</w:t>
      </w:r>
      <w:r w:rsidRPr="00812ACF">
        <w:rPr>
          <w:rFonts w:cs="FrankRuehl"/>
          <w:sz w:val="20"/>
          <w:szCs w:val="20"/>
          <w:lang w:eastAsia="en-US"/>
        </w:rPr>
        <w:t xml:space="preserve"> 153</w:t>
      </w:r>
      <w:r w:rsidRPr="00812ACF">
        <w:rPr>
          <w:rFonts w:cs="FrankRuehl"/>
          <w:sz w:val="20"/>
          <w:szCs w:val="20"/>
          <w:rtl/>
          <w:lang w:eastAsia="en-US"/>
        </w:rPr>
        <w:t>א).</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bookmarkStart w:id="1" w:name="FirstUzkeru"/>
      <w:bookmarkEnd w:id="1"/>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פסקי דין של בית המשפט העליון שאוזכרו</w:t>
      </w:r>
      <w:r w:rsidRPr="00812ACF">
        <w:rPr>
          <w:rFonts w:cs="FrankRuehl"/>
          <w:sz w:val="20"/>
          <w:szCs w:val="20"/>
          <w:lang w:eastAsia="en-US"/>
        </w:rPr>
        <w:t>:</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1</w:t>
      </w:r>
      <w:r w:rsidRPr="00812ACF">
        <w:rPr>
          <w:rFonts w:cs="FrankRuehl"/>
          <w:sz w:val="20"/>
          <w:szCs w:val="20"/>
          <w:rtl/>
          <w:lang w:eastAsia="en-US"/>
        </w:rPr>
        <w:t>]</w:t>
      </w:r>
      <w:r w:rsidRPr="00812ACF">
        <w:rPr>
          <w:rFonts w:cs="FrankRuehl"/>
          <w:sz w:val="20"/>
          <w:szCs w:val="20"/>
          <w:lang w:eastAsia="en-US"/>
        </w:rPr>
        <w:t xml:space="preserve"> </w:t>
      </w:r>
      <w:hyperlink r:id="rId35" w:history="1">
        <w:r w:rsidRPr="00812ACF">
          <w:rPr>
            <w:rStyle w:val="Hyperlink"/>
            <w:rFonts w:cs="FrankRuehl"/>
            <w:sz w:val="20"/>
            <w:szCs w:val="20"/>
            <w:rtl/>
            <w:lang w:eastAsia="en-US"/>
          </w:rPr>
          <w:t>ר"ע 40/86 שנער נ' מדינת ישראל, פ"ד מ</w:t>
        </w:r>
      </w:hyperlink>
      <w:r w:rsidRPr="00812ACF">
        <w:rPr>
          <w:rFonts w:cs="FrankRuehl"/>
          <w:sz w:val="20"/>
          <w:szCs w:val="20"/>
          <w:rtl/>
          <w:lang w:eastAsia="en-US"/>
        </w:rPr>
        <w:t xml:space="preserve"> (1) </w:t>
      </w:r>
      <w:r w:rsidRPr="00812ACF">
        <w:rPr>
          <w:rFonts w:cs="FrankRuehl"/>
          <w:sz w:val="20"/>
          <w:szCs w:val="20"/>
          <w:lang w:eastAsia="en-US"/>
        </w:rPr>
        <w:t>.237</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2</w:t>
      </w:r>
      <w:r w:rsidRPr="00812ACF">
        <w:rPr>
          <w:rFonts w:cs="FrankRuehl"/>
          <w:sz w:val="20"/>
          <w:szCs w:val="20"/>
          <w:rtl/>
          <w:lang w:eastAsia="en-US"/>
        </w:rPr>
        <w:t>]</w:t>
      </w:r>
      <w:r w:rsidRPr="00812ACF">
        <w:rPr>
          <w:rFonts w:cs="FrankRuehl"/>
          <w:sz w:val="20"/>
          <w:szCs w:val="20"/>
          <w:lang w:eastAsia="en-US"/>
        </w:rPr>
        <w:t xml:space="preserve"> </w:t>
      </w:r>
      <w:hyperlink r:id="rId36" w:history="1">
        <w:r w:rsidRPr="00812ACF">
          <w:rPr>
            <w:rStyle w:val="Hyperlink"/>
            <w:rFonts w:cs="FrankRuehl"/>
            <w:sz w:val="20"/>
            <w:szCs w:val="20"/>
            <w:rtl/>
            <w:lang w:eastAsia="en-US"/>
          </w:rPr>
          <w:t>בג"צ 110/50 אדלר נ' המפקח הכללי של המשטרה ואח’,  פ"ד ה</w:t>
        </w:r>
      </w:hyperlink>
      <w:r w:rsidRPr="00812ACF">
        <w:rPr>
          <w:rFonts w:cs="FrankRuehl"/>
          <w:sz w:val="20"/>
          <w:szCs w:val="20"/>
          <w:rtl/>
          <w:lang w:eastAsia="en-US"/>
        </w:rPr>
        <w:t xml:space="preserve"> </w:t>
      </w:r>
      <w:r w:rsidRPr="00812ACF">
        <w:rPr>
          <w:rFonts w:cs="FrankRuehl"/>
          <w:sz w:val="20"/>
          <w:szCs w:val="20"/>
          <w:lang w:eastAsia="en-US"/>
        </w:rPr>
        <w:t>.145</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3</w:t>
      </w:r>
      <w:r w:rsidRPr="00812ACF">
        <w:rPr>
          <w:rFonts w:cs="FrankRuehl"/>
          <w:sz w:val="20"/>
          <w:szCs w:val="20"/>
          <w:rtl/>
          <w:lang w:eastAsia="en-US"/>
        </w:rPr>
        <w:t>]</w:t>
      </w:r>
      <w:r w:rsidRPr="00812ACF">
        <w:rPr>
          <w:rFonts w:cs="FrankRuehl"/>
          <w:sz w:val="20"/>
          <w:szCs w:val="20"/>
          <w:lang w:eastAsia="en-US"/>
        </w:rPr>
        <w:t xml:space="preserve"> </w:t>
      </w:r>
      <w:hyperlink r:id="rId37" w:history="1">
        <w:r w:rsidRPr="00812ACF">
          <w:rPr>
            <w:rStyle w:val="Hyperlink"/>
            <w:rFonts w:cs="FrankRuehl"/>
            <w:sz w:val="20"/>
            <w:szCs w:val="20"/>
            <w:rtl/>
            <w:lang w:eastAsia="en-US"/>
          </w:rPr>
          <w:t>בג"צ 156/66 שור נ' היועץ המשפטי ואח’,  פ"ד יא</w:t>
        </w:r>
      </w:hyperlink>
      <w:r w:rsidRPr="00812ACF">
        <w:rPr>
          <w:rFonts w:cs="FrankRuehl"/>
          <w:sz w:val="20"/>
          <w:szCs w:val="20"/>
          <w:rtl/>
          <w:lang w:eastAsia="en-US"/>
        </w:rPr>
        <w:t xml:space="preserve"> </w:t>
      </w:r>
      <w:r w:rsidRPr="00812ACF">
        <w:rPr>
          <w:rFonts w:cs="FrankRuehl"/>
          <w:sz w:val="20"/>
          <w:szCs w:val="20"/>
          <w:lang w:eastAsia="en-US"/>
        </w:rPr>
        <w:t>.285</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4</w:t>
      </w:r>
      <w:r w:rsidRPr="00812ACF">
        <w:rPr>
          <w:rFonts w:cs="FrankRuehl"/>
          <w:sz w:val="20"/>
          <w:szCs w:val="20"/>
          <w:rtl/>
          <w:lang w:eastAsia="en-US"/>
        </w:rPr>
        <w:t>]</w:t>
      </w:r>
      <w:r w:rsidRPr="00812ACF">
        <w:rPr>
          <w:rFonts w:cs="FrankRuehl"/>
          <w:sz w:val="20"/>
          <w:szCs w:val="20"/>
          <w:lang w:eastAsia="en-US"/>
        </w:rPr>
        <w:t xml:space="preserve"> </w:t>
      </w:r>
      <w:hyperlink r:id="rId38" w:history="1">
        <w:r w:rsidRPr="00812ACF">
          <w:rPr>
            <w:rStyle w:val="Hyperlink"/>
            <w:rFonts w:cs="FrankRuehl"/>
            <w:sz w:val="20"/>
            <w:szCs w:val="20"/>
            <w:rtl/>
            <w:lang w:eastAsia="en-US"/>
          </w:rPr>
          <w:t xml:space="preserve">בג"צ 935/89, 940, 943גנור ואח' נ' היועץ המשפטי לממשלה ואח’, </w:t>
        </w:r>
        <w:r w:rsidRPr="00812ACF">
          <w:rPr>
            <w:rStyle w:val="Hyperlink"/>
            <w:rFonts w:cs="FrankRuehl"/>
            <w:sz w:val="20"/>
            <w:szCs w:val="20"/>
            <w:rtl/>
            <w:lang w:eastAsia="en-US"/>
          </w:rPr>
          <w:cr/>
        </w:r>
        <w:r w:rsidRPr="00812ACF">
          <w:rPr>
            <w:rStyle w:val="Hyperlink"/>
            <w:rFonts w:cs="FrankRuehl"/>
            <w:sz w:val="20"/>
            <w:szCs w:val="20"/>
            <w:rtl/>
            <w:lang w:eastAsia="en-US"/>
          </w:rPr>
          <w:cr/>
          <w:t xml:space="preserve"> פ"ד מד</w:t>
        </w:r>
      </w:hyperlink>
      <w:r w:rsidRPr="00812ACF">
        <w:rPr>
          <w:rFonts w:cs="FrankRuehl"/>
          <w:sz w:val="20"/>
          <w:szCs w:val="20"/>
          <w:rtl/>
          <w:lang w:eastAsia="en-US"/>
        </w:rPr>
        <w:t xml:space="preserve"> (2) </w:t>
      </w:r>
      <w:r w:rsidRPr="00812ACF">
        <w:rPr>
          <w:rFonts w:cs="FrankRuehl"/>
          <w:sz w:val="20"/>
          <w:szCs w:val="20"/>
          <w:lang w:eastAsia="en-US"/>
        </w:rPr>
        <w:t>.485</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5</w:t>
      </w:r>
      <w:r w:rsidRPr="00812ACF">
        <w:rPr>
          <w:rFonts w:cs="FrankRuehl"/>
          <w:sz w:val="20"/>
          <w:szCs w:val="20"/>
          <w:rtl/>
          <w:lang w:eastAsia="en-US"/>
        </w:rPr>
        <w:t>]</w:t>
      </w:r>
      <w:r w:rsidRPr="00812ACF">
        <w:rPr>
          <w:rFonts w:cs="FrankRuehl"/>
          <w:sz w:val="20"/>
          <w:szCs w:val="20"/>
          <w:lang w:eastAsia="en-US"/>
        </w:rPr>
        <w:t xml:space="preserve"> </w:t>
      </w:r>
      <w:hyperlink r:id="rId39" w:history="1">
        <w:r w:rsidRPr="00812ACF">
          <w:rPr>
            <w:rStyle w:val="Hyperlink"/>
            <w:rFonts w:cs="FrankRuehl"/>
            <w:sz w:val="20"/>
            <w:szCs w:val="20"/>
            <w:rtl/>
            <w:lang w:eastAsia="en-US"/>
          </w:rPr>
          <w:t xml:space="preserve">ע"פ 152/63 כהן נ' לוי, פ"ד </w:t>
        </w:r>
        <w:proofErr w:type="spellStart"/>
        <w:r w:rsidRPr="00812ACF">
          <w:rPr>
            <w:rStyle w:val="Hyperlink"/>
            <w:rFonts w:cs="FrankRuehl"/>
            <w:sz w:val="20"/>
            <w:szCs w:val="20"/>
            <w:rtl/>
            <w:lang w:eastAsia="en-US"/>
          </w:rPr>
          <w:t>יח</w:t>
        </w:r>
        <w:proofErr w:type="spellEnd"/>
      </w:hyperlink>
      <w:r w:rsidRPr="00812ACF">
        <w:rPr>
          <w:rFonts w:cs="FrankRuehl"/>
          <w:sz w:val="20"/>
          <w:szCs w:val="20"/>
          <w:rtl/>
          <w:lang w:eastAsia="en-US"/>
        </w:rPr>
        <w:t xml:space="preserve"> (2) </w:t>
      </w:r>
      <w:r w:rsidRPr="00812ACF">
        <w:rPr>
          <w:rFonts w:cs="FrankRuehl"/>
          <w:sz w:val="20"/>
          <w:szCs w:val="20"/>
          <w:lang w:eastAsia="en-US"/>
        </w:rPr>
        <w:t>.129</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 xml:space="preserve"> פסקי דין של בתי משפט השלום שאוזכרו</w:t>
      </w:r>
      <w:r w:rsidRPr="00812ACF">
        <w:rPr>
          <w:rFonts w:cs="FrankRuehl"/>
          <w:sz w:val="20"/>
          <w:szCs w:val="20"/>
          <w:lang w:eastAsia="en-US"/>
        </w:rPr>
        <w:t>:</w:t>
      </w: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p>
    <w:p w:rsidR="00812ACF" w:rsidRPr="00812ACF" w:rsidRDefault="00812ACF" w:rsidP="00812ACF">
      <w:pPr>
        <w:tabs>
          <w:tab w:val="left" w:pos="288"/>
          <w:tab w:val="left" w:pos="432"/>
          <w:tab w:val="left" w:pos="720"/>
          <w:tab w:val="left" w:pos="864"/>
          <w:tab w:val="left" w:pos="1296"/>
          <w:tab w:val="left" w:pos="8064"/>
        </w:tabs>
        <w:spacing w:after="80" w:line="260" w:lineRule="exact"/>
        <w:jc w:val="center"/>
        <w:rPr>
          <w:rFonts w:cs="FrankRuehl"/>
          <w:sz w:val="20"/>
          <w:szCs w:val="20"/>
          <w:lang w:eastAsia="en-US"/>
        </w:rPr>
      </w:pPr>
      <w:r w:rsidRPr="00812ACF">
        <w:rPr>
          <w:rFonts w:cs="FrankRuehl"/>
          <w:sz w:val="20"/>
          <w:szCs w:val="20"/>
          <w:rtl/>
          <w:lang w:eastAsia="en-US"/>
        </w:rPr>
        <w:t>[</w:t>
      </w:r>
      <w:r w:rsidRPr="00812ACF">
        <w:rPr>
          <w:rFonts w:cs="FrankRuehl"/>
          <w:sz w:val="20"/>
          <w:szCs w:val="20"/>
          <w:lang w:eastAsia="en-US"/>
        </w:rPr>
        <w:t>6</w:t>
      </w:r>
      <w:r w:rsidRPr="00812ACF">
        <w:rPr>
          <w:rFonts w:cs="FrankRuehl"/>
          <w:sz w:val="20"/>
          <w:szCs w:val="20"/>
          <w:rtl/>
          <w:lang w:eastAsia="en-US"/>
        </w:rPr>
        <w:t>]</w:t>
      </w:r>
      <w:r w:rsidRPr="00812ACF">
        <w:rPr>
          <w:rFonts w:cs="FrankRuehl"/>
          <w:sz w:val="20"/>
          <w:szCs w:val="20"/>
          <w:lang w:eastAsia="en-US"/>
        </w:rPr>
        <w:t xml:space="preserve"> </w:t>
      </w:r>
      <w:hyperlink r:id="rId40" w:history="1">
        <w:r w:rsidRPr="00812ACF">
          <w:rPr>
            <w:rStyle w:val="Hyperlink"/>
            <w:rFonts w:cs="FrankRuehl"/>
            <w:sz w:val="20"/>
            <w:szCs w:val="20"/>
            <w:rtl/>
            <w:lang w:eastAsia="en-US"/>
          </w:rPr>
          <w:t>ב"ש 436/91</w:t>
        </w:r>
      </w:hyperlink>
      <w:r w:rsidRPr="00812ACF">
        <w:rPr>
          <w:rFonts w:cs="FrankRuehl"/>
          <w:sz w:val="20"/>
          <w:szCs w:val="20"/>
          <w:rtl/>
          <w:lang w:eastAsia="en-US"/>
        </w:rPr>
        <w:t xml:space="preserve">, </w:t>
      </w:r>
      <w:hyperlink r:id="rId41" w:history="1">
        <w:r w:rsidRPr="00812ACF">
          <w:rPr>
            <w:rStyle w:val="Hyperlink"/>
            <w:rFonts w:cs="FrankRuehl"/>
            <w:sz w:val="20"/>
            <w:szCs w:val="20"/>
            <w:rtl/>
            <w:lang w:eastAsia="en-US"/>
          </w:rPr>
          <w:t>ת"פ (י-ם) 861/91</w:t>
        </w:r>
      </w:hyperlink>
      <w:r w:rsidRPr="00812ACF">
        <w:rPr>
          <w:rFonts w:cs="FrankRuehl"/>
          <w:sz w:val="20"/>
          <w:szCs w:val="20"/>
          <w:rtl/>
          <w:lang w:eastAsia="en-US"/>
        </w:rPr>
        <w:t xml:space="preserve"> - לא פורסם. פסקי דין אנגליים שאוזכרו</w:t>
      </w:r>
      <w:r w:rsidRPr="00812ACF">
        <w:rPr>
          <w:rFonts w:cs="FrankRuehl"/>
          <w:sz w:val="20"/>
          <w:szCs w:val="20"/>
          <w:lang w:eastAsia="en-US"/>
        </w:rPr>
        <w:t>:</w:t>
      </w:r>
    </w:p>
    <w:p w:rsidR="00812ACF" w:rsidRPr="00812ACF" w:rsidRDefault="00812ACF" w:rsidP="00812ACF">
      <w:pPr>
        <w:tabs>
          <w:tab w:val="left" w:pos="288"/>
          <w:tab w:val="left" w:pos="432"/>
          <w:tab w:val="left" w:pos="720"/>
          <w:tab w:val="left" w:pos="864"/>
          <w:tab w:val="decimal" w:pos="1296"/>
          <w:tab w:val="decimal" w:pos="8064"/>
        </w:tabs>
        <w:spacing w:after="80" w:line="260" w:lineRule="exact"/>
        <w:jc w:val="right"/>
        <w:rPr>
          <w:rFonts w:cs="FrankRuehl"/>
          <w:sz w:val="20"/>
          <w:szCs w:val="20"/>
          <w:lang w:eastAsia="en-US"/>
        </w:rPr>
      </w:pPr>
      <w:r w:rsidRPr="00812ACF">
        <w:rPr>
          <w:rFonts w:cs="FrankRuehl"/>
          <w:sz w:val="20"/>
          <w:szCs w:val="20"/>
          <w:rtl/>
          <w:lang w:eastAsia="en-US"/>
        </w:rPr>
        <w:t xml:space="preserve">  </w:t>
      </w:r>
      <w:r w:rsidRPr="00812ACF">
        <w:rPr>
          <w:rFonts w:cs="FrankRuehl"/>
          <w:sz w:val="20"/>
          <w:szCs w:val="20"/>
          <w:lang w:eastAsia="en-US"/>
        </w:rPr>
        <w:t xml:space="preserve">. All </w:t>
      </w:r>
      <w:proofErr w:type="spellStart"/>
      <w:r w:rsidRPr="00812ACF">
        <w:rPr>
          <w:rFonts w:cs="FrankRuehl"/>
          <w:sz w:val="20"/>
          <w:szCs w:val="20"/>
          <w:lang w:eastAsia="en-US"/>
        </w:rPr>
        <w:t>e.r</w:t>
      </w:r>
      <w:proofErr w:type="spellEnd"/>
      <w:r w:rsidRPr="00812ACF">
        <w:rPr>
          <w:rFonts w:cs="FrankRuehl"/>
          <w:sz w:val="20"/>
          <w:szCs w:val="20"/>
          <w:lang w:eastAsia="en-US"/>
        </w:rPr>
        <w:t xml:space="preserve"> 3</w:t>
      </w:r>
      <w:r w:rsidRPr="00812ACF">
        <w:rPr>
          <w:rFonts w:cs="FrankRuehl"/>
          <w:sz w:val="20"/>
          <w:szCs w:val="20"/>
          <w:rtl/>
          <w:lang w:eastAsia="en-US"/>
        </w:rPr>
        <w:t>[</w:t>
      </w:r>
      <w:r w:rsidRPr="00812ACF">
        <w:rPr>
          <w:rFonts w:cs="FrankRuehl"/>
          <w:sz w:val="20"/>
          <w:szCs w:val="20"/>
          <w:lang w:eastAsia="en-US"/>
        </w:rPr>
        <w:t>1977</w:t>
      </w:r>
      <w:r w:rsidRPr="00812ACF">
        <w:rPr>
          <w:rFonts w:cs="FrankRuehl"/>
          <w:sz w:val="20"/>
          <w:szCs w:val="20"/>
          <w:rtl/>
          <w:lang w:eastAsia="en-US"/>
        </w:rPr>
        <w:t>]</w:t>
      </w:r>
      <w:r w:rsidRPr="00812ACF">
        <w:rPr>
          <w:rFonts w:cs="FrankRuehl"/>
          <w:sz w:val="20"/>
          <w:szCs w:val="20"/>
          <w:lang w:eastAsia="en-US"/>
        </w:rPr>
        <w:t xml:space="preserve"> union of post office </w:t>
      </w:r>
      <w:proofErr w:type="gramStart"/>
      <w:r w:rsidRPr="00812ACF">
        <w:rPr>
          <w:rFonts w:cs="FrankRuehl"/>
          <w:sz w:val="20"/>
          <w:szCs w:val="20"/>
          <w:lang w:eastAsia="en-US"/>
        </w:rPr>
        <w:t>workers</w:t>
      </w:r>
      <w:r w:rsidRPr="00812ACF">
        <w:rPr>
          <w:rFonts w:cs="FrankRuehl"/>
          <w:sz w:val="20"/>
          <w:szCs w:val="20"/>
          <w:rtl/>
          <w:lang w:eastAsia="en-US"/>
        </w:rPr>
        <w:t xml:space="preserve"> </w:t>
      </w:r>
      <w:r w:rsidRPr="00812ACF">
        <w:rPr>
          <w:rFonts w:cs="FrankRuehl"/>
          <w:sz w:val="20"/>
          <w:szCs w:val="20"/>
          <w:lang w:eastAsia="en-US"/>
        </w:rPr>
        <w:t>.</w:t>
      </w:r>
      <w:proofErr w:type="gramEnd"/>
      <w:r w:rsidRPr="00812ACF">
        <w:rPr>
          <w:rFonts w:cs="FrankRuehl"/>
          <w:sz w:val="20"/>
          <w:szCs w:val="20"/>
          <w:lang w:eastAsia="en-US"/>
        </w:rPr>
        <w:t xml:space="preserve"> </w:t>
      </w:r>
      <w:proofErr w:type="spellStart"/>
      <w:r w:rsidRPr="00812ACF">
        <w:rPr>
          <w:rFonts w:cs="FrankRuehl"/>
          <w:sz w:val="20"/>
          <w:szCs w:val="20"/>
          <w:lang w:eastAsia="en-US"/>
        </w:rPr>
        <w:t>Gouriet</w:t>
      </w:r>
      <w:proofErr w:type="spellEnd"/>
      <w:r w:rsidRPr="00812ACF">
        <w:rPr>
          <w:rFonts w:cs="FrankRuehl"/>
          <w:sz w:val="20"/>
          <w:szCs w:val="20"/>
          <w:lang w:eastAsia="en-US"/>
        </w:rPr>
        <w:t xml:space="preserve"> </w:t>
      </w:r>
      <w:proofErr w:type="gramStart"/>
      <w:r w:rsidRPr="00812ACF">
        <w:rPr>
          <w:rFonts w:cs="FrankRuehl"/>
          <w:sz w:val="20"/>
          <w:szCs w:val="20"/>
          <w:lang w:eastAsia="en-US"/>
        </w:rPr>
        <w:t>v</w:t>
      </w:r>
      <w:r w:rsidRPr="00812ACF">
        <w:rPr>
          <w:rFonts w:cs="FrankRuehl"/>
          <w:sz w:val="20"/>
          <w:szCs w:val="20"/>
          <w:rtl/>
          <w:lang w:eastAsia="en-US"/>
        </w:rPr>
        <w:t>[</w:t>
      </w:r>
      <w:proofErr w:type="gramEnd"/>
      <w:r w:rsidRPr="00812ACF">
        <w:rPr>
          <w:rFonts w:cs="FrankRuehl"/>
          <w:sz w:val="20"/>
          <w:szCs w:val="20"/>
          <w:lang w:eastAsia="en-US"/>
        </w:rPr>
        <w:t>7</w:t>
      </w:r>
      <w:r w:rsidRPr="00812ACF">
        <w:rPr>
          <w:rFonts w:cs="FrankRuehl"/>
          <w:sz w:val="20"/>
          <w:szCs w:val="20"/>
          <w:rtl/>
          <w:lang w:eastAsia="en-US"/>
        </w:rPr>
        <w:t>]</w:t>
      </w:r>
    </w:p>
    <w:p w:rsidR="00812ACF" w:rsidRPr="00812ACF" w:rsidRDefault="00812ACF" w:rsidP="00812ACF">
      <w:pPr>
        <w:tabs>
          <w:tab w:val="left" w:pos="288"/>
          <w:tab w:val="left" w:pos="432"/>
          <w:tab w:val="left" w:pos="720"/>
          <w:tab w:val="left" w:pos="864"/>
          <w:tab w:val="left" w:pos="1296"/>
          <w:tab w:val="decimal" w:pos="8064"/>
        </w:tabs>
        <w:spacing w:after="80" w:line="260" w:lineRule="exact"/>
        <w:jc w:val="right"/>
        <w:rPr>
          <w:rFonts w:cs="FrankRuehl"/>
          <w:sz w:val="20"/>
          <w:szCs w:val="20"/>
          <w:lang w:eastAsia="en-US"/>
        </w:rPr>
      </w:pPr>
    </w:p>
    <w:p w:rsidR="00812ACF" w:rsidRPr="00812ACF" w:rsidRDefault="00812ACF" w:rsidP="00812ACF">
      <w:pPr>
        <w:tabs>
          <w:tab w:val="left" w:pos="288"/>
          <w:tab w:val="left" w:pos="432"/>
          <w:tab w:val="left" w:pos="720"/>
          <w:tab w:val="left" w:pos="864"/>
          <w:tab w:val="left" w:pos="1296"/>
          <w:tab w:val="decimal" w:pos="8064"/>
        </w:tabs>
        <w:spacing w:after="80" w:line="260" w:lineRule="exact"/>
        <w:jc w:val="right"/>
        <w:rPr>
          <w:rFonts w:cs="FrankRuehl"/>
          <w:sz w:val="20"/>
          <w:szCs w:val="20"/>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w:t>
      </w:r>
      <w:r w:rsidRPr="00812ACF">
        <w:rPr>
          <w:rFonts w:cs="FrankRuehl"/>
          <w:sz w:val="20"/>
          <w:szCs w:val="20"/>
          <w:rtl/>
          <w:lang w:eastAsia="en-US"/>
        </w:rPr>
        <w:t>(</w:t>
      </w:r>
      <w:proofErr w:type="gramEnd"/>
      <w:r w:rsidRPr="00812ACF">
        <w:rPr>
          <w:rFonts w:cs="FrankRuehl"/>
          <w:sz w:val="20"/>
          <w:szCs w:val="20"/>
          <w:lang w:eastAsia="en-US"/>
        </w:rPr>
        <w:t>.</w:t>
      </w:r>
      <w:proofErr w:type="spellStart"/>
      <w:r w:rsidRPr="00812ACF">
        <w:rPr>
          <w:rFonts w:cs="FrankRuehl"/>
          <w:sz w:val="20"/>
          <w:szCs w:val="20"/>
          <w:lang w:eastAsia="en-US"/>
        </w:rPr>
        <w:t>h.l</w:t>
      </w:r>
      <w:proofErr w:type="spellEnd"/>
      <w:r w:rsidRPr="00812ACF">
        <w:rPr>
          <w:rFonts w:cs="FrankRuehl"/>
          <w:sz w:val="20"/>
          <w:szCs w:val="20"/>
          <w:rtl/>
          <w:lang w:eastAsia="en-US"/>
        </w:rPr>
        <w:t>)</w:t>
      </w:r>
      <w:r w:rsidRPr="00812ACF">
        <w:rPr>
          <w:rFonts w:cs="FrankRuehl"/>
          <w:sz w:val="20"/>
          <w:szCs w:val="20"/>
          <w:lang w:eastAsia="en-US"/>
        </w:rPr>
        <w:t xml:space="preserve"> 70</w:t>
      </w:r>
    </w:p>
    <w:p w:rsidR="00812ACF" w:rsidRPr="00812ACF" w:rsidRDefault="00812ACF" w:rsidP="00812ACF">
      <w:pPr>
        <w:tabs>
          <w:tab w:val="left" w:pos="288"/>
          <w:tab w:val="left" w:pos="432"/>
          <w:tab w:val="left" w:pos="720"/>
          <w:tab w:val="left" w:pos="864"/>
          <w:tab w:val="left" w:pos="1296"/>
          <w:tab w:val="decimal" w:pos="8064"/>
        </w:tabs>
        <w:spacing w:after="80" w:line="260" w:lineRule="exact"/>
        <w:jc w:val="center"/>
        <w:rPr>
          <w:rFonts w:cs="FrankRuehl"/>
          <w:sz w:val="20"/>
          <w:szCs w:val="20"/>
          <w:lang w:eastAsia="en-US"/>
        </w:rPr>
      </w:pPr>
      <w:r w:rsidRPr="00812ACF">
        <w:rPr>
          <w:rFonts w:cs="FrankRuehl"/>
          <w:sz w:val="20"/>
          <w:szCs w:val="20"/>
          <w:rtl/>
          <w:lang w:eastAsia="en-US"/>
        </w:rPr>
        <w:t xml:space="preserve">ערעור ברשות על החלטתו של בית המשפט המחוזי בתל אביב יפו (השופט א' </w:t>
      </w:r>
      <w:proofErr w:type="spellStart"/>
      <w:r w:rsidRPr="00812ACF">
        <w:rPr>
          <w:rFonts w:cs="FrankRuehl"/>
          <w:sz w:val="20"/>
          <w:szCs w:val="20"/>
          <w:rtl/>
          <w:lang w:eastAsia="en-US"/>
        </w:rPr>
        <w:t>שטרוזמן</w:t>
      </w:r>
      <w:proofErr w:type="spellEnd"/>
      <w:r w:rsidRPr="00812ACF">
        <w:rPr>
          <w:rFonts w:cs="FrankRuehl"/>
          <w:sz w:val="20"/>
          <w:szCs w:val="20"/>
          <w:rtl/>
          <w:lang w:eastAsia="en-US"/>
        </w:rPr>
        <w:t>)</w:t>
      </w:r>
    </w:p>
    <w:p w:rsidR="00812ACF" w:rsidRPr="00812ACF" w:rsidRDefault="00812ACF" w:rsidP="00812ACF">
      <w:pPr>
        <w:tabs>
          <w:tab w:val="left" w:pos="288"/>
          <w:tab w:val="decimal" w:pos="432"/>
          <w:tab w:val="left" w:pos="720"/>
          <w:tab w:val="left" w:pos="864"/>
          <w:tab w:val="left" w:pos="1296"/>
          <w:tab w:val="decimal" w:pos="8064"/>
        </w:tabs>
        <w:spacing w:after="80" w:line="260" w:lineRule="exact"/>
        <w:jc w:val="center"/>
        <w:rPr>
          <w:rFonts w:cs="FrankRuehl"/>
          <w:sz w:val="20"/>
          <w:szCs w:val="20"/>
          <w:lang w:eastAsia="en-US"/>
        </w:rPr>
      </w:pPr>
      <w:r w:rsidRPr="00812ACF">
        <w:rPr>
          <w:rFonts w:cs="FrankRuehl"/>
          <w:sz w:val="20"/>
          <w:szCs w:val="20"/>
          <w:rtl/>
          <w:lang w:eastAsia="en-US"/>
        </w:rPr>
        <w:t xml:space="preserve"> מיום </w:t>
      </w:r>
      <w:r w:rsidRPr="00812ACF">
        <w:rPr>
          <w:rFonts w:cs="FrankRuehl"/>
          <w:sz w:val="20"/>
          <w:szCs w:val="20"/>
          <w:lang w:eastAsia="en-US"/>
        </w:rPr>
        <w:t>10.7.91</w:t>
      </w:r>
      <w:r w:rsidRPr="00812ACF">
        <w:rPr>
          <w:rFonts w:cs="FrankRuehl"/>
          <w:sz w:val="20"/>
          <w:szCs w:val="20"/>
          <w:rtl/>
          <w:lang w:eastAsia="en-US"/>
        </w:rPr>
        <w:t>ב</w:t>
      </w:r>
      <w:hyperlink r:id="rId42" w:history="1">
        <w:r w:rsidRPr="00812ACF">
          <w:rPr>
            <w:rStyle w:val="Hyperlink"/>
            <w:rFonts w:cs="FrankRuehl"/>
            <w:sz w:val="20"/>
            <w:szCs w:val="20"/>
            <w:rtl/>
            <w:lang w:eastAsia="en-US"/>
          </w:rPr>
          <w:t>ב"ש 418/91</w:t>
        </w:r>
      </w:hyperlink>
      <w:r w:rsidRPr="00812ACF">
        <w:rPr>
          <w:rFonts w:cs="FrankRuehl"/>
          <w:sz w:val="20"/>
          <w:szCs w:val="20"/>
          <w:rtl/>
          <w:lang w:eastAsia="en-US"/>
        </w:rPr>
        <w:t>, בו נתקבל ערעור על החלטתו של בית משפט השלום בתל</w:t>
      </w:r>
    </w:p>
    <w:p w:rsidR="00812ACF" w:rsidRPr="00812ACF" w:rsidRDefault="00812ACF" w:rsidP="00812ACF">
      <w:pPr>
        <w:tabs>
          <w:tab w:val="left" w:pos="288"/>
          <w:tab w:val="decimal" w:pos="432"/>
          <w:tab w:val="left" w:pos="720"/>
          <w:tab w:val="left" w:pos="864"/>
          <w:tab w:val="left" w:pos="1296"/>
          <w:tab w:val="decimal" w:pos="8064"/>
        </w:tabs>
        <w:spacing w:after="80" w:line="260" w:lineRule="exact"/>
        <w:jc w:val="center"/>
        <w:rPr>
          <w:rFonts w:cs="FrankRuehl"/>
          <w:sz w:val="20"/>
          <w:szCs w:val="20"/>
          <w:lang w:eastAsia="en-US"/>
        </w:rPr>
      </w:pPr>
      <w:r w:rsidRPr="00812ACF">
        <w:rPr>
          <w:rFonts w:cs="FrankRuehl"/>
          <w:sz w:val="20"/>
          <w:szCs w:val="20"/>
          <w:rtl/>
          <w:lang w:eastAsia="en-US"/>
        </w:rPr>
        <w:t xml:space="preserve"> אביב יפו (השופטת ר</w:t>
      </w:r>
      <w:r w:rsidRPr="00812ACF">
        <w:rPr>
          <w:rFonts w:cs="FrankRuehl"/>
          <w:sz w:val="20"/>
          <w:szCs w:val="20"/>
          <w:lang w:eastAsia="en-US"/>
        </w:rPr>
        <w:t xml:space="preserve">' </w:t>
      </w:r>
      <w:r w:rsidRPr="00812ACF">
        <w:rPr>
          <w:rFonts w:cs="FrankRuehl"/>
          <w:sz w:val="20"/>
          <w:szCs w:val="20"/>
          <w:rtl/>
          <w:lang w:eastAsia="en-US"/>
        </w:rPr>
        <w:t>אלקבץ). הערעור נדחה</w:t>
      </w:r>
      <w:r w:rsidRPr="00812ACF">
        <w:rPr>
          <w:rFonts w:cs="FrankRuehl"/>
          <w:sz w:val="20"/>
          <w:szCs w:val="20"/>
          <w:lang w:eastAsia="en-US"/>
        </w:rPr>
        <w:t>.</w:t>
      </w:r>
    </w:p>
    <w:p w:rsidR="00812ACF" w:rsidRPr="00812ACF" w:rsidRDefault="00812ACF" w:rsidP="00812ACF">
      <w:pPr>
        <w:tabs>
          <w:tab w:val="left" w:pos="288"/>
          <w:tab w:val="decimal" w:pos="432"/>
          <w:tab w:val="left" w:pos="720"/>
          <w:tab w:val="left" w:pos="864"/>
          <w:tab w:val="left" w:pos="1296"/>
          <w:tab w:val="decimal" w:pos="8064"/>
        </w:tabs>
        <w:spacing w:after="80" w:line="260" w:lineRule="exact"/>
        <w:jc w:val="center"/>
        <w:rPr>
          <w:rFonts w:cs="FrankRuehl"/>
          <w:sz w:val="20"/>
          <w:szCs w:val="20"/>
          <w:lang w:eastAsia="en-US"/>
        </w:rPr>
      </w:pPr>
      <w:bookmarkStart w:id="2" w:name="FirstLawyer"/>
      <w:r w:rsidRPr="00812ACF">
        <w:rPr>
          <w:rFonts w:cs="FrankRuehl"/>
          <w:sz w:val="20"/>
          <w:szCs w:val="20"/>
          <w:rtl/>
          <w:lang w:eastAsia="en-US"/>
        </w:rPr>
        <w:t xml:space="preserve"> מ' מוזר - בשם המערער</w:t>
      </w:r>
      <w:r w:rsidRPr="00812ACF">
        <w:rPr>
          <w:rFonts w:cs="FrankRuehl"/>
          <w:sz w:val="20"/>
          <w:szCs w:val="20"/>
          <w:lang w:eastAsia="en-US"/>
        </w:rPr>
        <w:t>;</w:t>
      </w:r>
    </w:p>
    <w:bookmarkEnd w:id="2"/>
    <w:p w:rsidR="00812ACF" w:rsidRPr="00812ACF" w:rsidRDefault="00812ACF" w:rsidP="00812ACF">
      <w:pPr>
        <w:tabs>
          <w:tab w:val="left" w:pos="288"/>
          <w:tab w:val="decimal" w:pos="432"/>
          <w:tab w:val="left" w:pos="720"/>
          <w:tab w:val="left" w:pos="864"/>
          <w:tab w:val="left" w:pos="1296"/>
          <w:tab w:val="decimal" w:pos="8064"/>
        </w:tabs>
        <w:spacing w:after="80" w:line="260" w:lineRule="exact"/>
        <w:jc w:val="center"/>
        <w:rPr>
          <w:rFonts w:cs="FrankRuehl"/>
          <w:sz w:val="20"/>
          <w:szCs w:val="20"/>
          <w:lang w:eastAsia="en-US"/>
        </w:rPr>
      </w:pPr>
      <w:r w:rsidRPr="00812ACF">
        <w:rPr>
          <w:rFonts w:cs="FrankRuehl"/>
          <w:sz w:val="20"/>
          <w:szCs w:val="20"/>
          <w:rtl/>
          <w:lang w:eastAsia="en-US"/>
        </w:rPr>
        <w:t xml:space="preserve"> א' </w:t>
      </w:r>
      <w:proofErr w:type="spellStart"/>
      <w:r w:rsidRPr="00812ACF">
        <w:rPr>
          <w:rFonts w:cs="FrankRuehl"/>
          <w:sz w:val="20"/>
          <w:szCs w:val="20"/>
          <w:rtl/>
          <w:lang w:eastAsia="en-US"/>
        </w:rPr>
        <w:t>צ'רטוק</w:t>
      </w:r>
      <w:proofErr w:type="spellEnd"/>
      <w:r w:rsidRPr="00812ACF">
        <w:rPr>
          <w:rFonts w:cs="FrankRuehl"/>
          <w:sz w:val="20"/>
          <w:szCs w:val="20"/>
          <w:rtl/>
          <w:lang w:eastAsia="en-US"/>
        </w:rPr>
        <w:t xml:space="preserve"> - בשם המשיב</w:t>
      </w:r>
      <w:r w:rsidRPr="00812ACF">
        <w:rPr>
          <w:rFonts w:cs="FrankRuehl"/>
          <w:sz w:val="20"/>
          <w:szCs w:val="20"/>
          <w:lang w:eastAsia="en-US"/>
        </w:rPr>
        <w:t>;</w:t>
      </w:r>
    </w:p>
    <w:p w:rsidR="00812ACF" w:rsidRPr="00812ACF" w:rsidRDefault="00812ACF" w:rsidP="00812ACF">
      <w:pPr>
        <w:tabs>
          <w:tab w:val="left" w:pos="288"/>
          <w:tab w:val="decimal" w:pos="432"/>
          <w:tab w:val="left" w:pos="720"/>
          <w:tab w:val="left" w:pos="864"/>
          <w:tab w:val="left" w:pos="1296"/>
          <w:tab w:val="decimal" w:pos="8064"/>
        </w:tabs>
        <w:spacing w:after="80" w:line="260" w:lineRule="exact"/>
        <w:jc w:val="center"/>
        <w:rPr>
          <w:rFonts w:cs="FrankRuehl"/>
          <w:sz w:val="20"/>
          <w:szCs w:val="20"/>
          <w:lang w:eastAsia="en-US"/>
        </w:rPr>
      </w:pPr>
      <w:r w:rsidRPr="00812ACF">
        <w:rPr>
          <w:rFonts w:cs="FrankRuehl"/>
          <w:sz w:val="20"/>
          <w:szCs w:val="20"/>
          <w:rtl/>
          <w:lang w:eastAsia="en-US"/>
        </w:rPr>
        <w:t xml:space="preserve">נ' </w:t>
      </w:r>
      <w:proofErr w:type="spellStart"/>
      <w:r w:rsidRPr="00812ACF">
        <w:rPr>
          <w:rFonts w:cs="FrankRuehl"/>
          <w:sz w:val="20"/>
          <w:szCs w:val="20"/>
          <w:rtl/>
          <w:lang w:eastAsia="en-US"/>
        </w:rPr>
        <w:t>אלשטיין</w:t>
      </w:r>
      <w:proofErr w:type="spellEnd"/>
      <w:r w:rsidRPr="00812ACF">
        <w:rPr>
          <w:rFonts w:cs="FrankRuehl"/>
          <w:sz w:val="20"/>
          <w:szCs w:val="20"/>
          <w:rtl/>
          <w:lang w:eastAsia="en-US"/>
        </w:rPr>
        <w:t>, סגן בכיר א' וממונה לענייני סכסוכי עבודה בפרקליטות המדינה</w:t>
      </w:r>
    </w:p>
    <w:p w:rsidR="00812ACF" w:rsidRPr="00812ACF" w:rsidRDefault="00812ACF" w:rsidP="00812ACF">
      <w:pPr>
        <w:tabs>
          <w:tab w:val="left" w:pos="288"/>
          <w:tab w:val="decimal" w:pos="432"/>
          <w:tab w:val="left" w:pos="720"/>
          <w:tab w:val="left" w:pos="864"/>
          <w:tab w:val="left" w:pos="1296"/>
          <w:tab w:val="decimal" w:pos="8064"/>
        </w:tabs>
        <w:spacing w:after="80" w:line="260" w:lineRule="exact"/>
        <w:jc w:val="center"/>
        <w:rPr>
          <w:rFonts w:cs="FrankRuehl"/>
          <w:sz w:val="20"/>
          <w:szCs w:val="20"/>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 xml:space="preserve">- </w:t>
      </w:r>
      <w:r w:rsidRPr="00812ACF">
        <w:rPr>
          <w:rFonts w:cs="FrankRuehl"/>
          <w:sz w:val="20"/>
          <w:szCs w:val="20"/>
          <w:rtl/>
          <w:lang w:eastAsia="en-US"/>
        </w:rPr>
        <w:t>בשם היועץ המשפטי לממשלה</w:t>
      </w:r>
      <w:r w:rsidRPr="00812ACF">
        <w:rPr>
          <w:rFonts w:cs="FrankRuehl"/>
          <w:sz w:val="20"/>
          <w:szCs w:val="20"/>
          <w:lang w:eastAsia="en-US"/>
        </w:rPr>
        <w:t>.</w:t>
      </w:r>
      <w:proofErr w:type="gramEnd"/>
    </w:p>
    <w:p w:rsidR="00812ACF" w:rsidRPr="00812ACF" w:rsidRDefault="00812ACF" w:rsidP="00812ACF">
      <w:pPr>
        <w:tabs>
          <w:tab w:val="left" w:pos="288"/>
          <w:tab w:val="left" w:pos="720"/>
          <w:tab w:val="left" w:pos="1296"/>
          <w:tab w:val="left" w:pos="4896"/>
        </w:tabs>
        <w:spacing w:after="80" w:line="260" w:lineRule="exact"/>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jc w:val="center"/>
        <w:rPr>
          <w:rFonts w:cs="FrankRuehl"/>
          <w:bCs/>
          <w:sz w:val="20"/>
          <w:szCs w:val="20"/>
          <w:lang w:eastAsia="en-US"/>
        </w:rPr>
      </w:pPr>
      <w:r w:rsidRPr="00812ACF">
        <w:rPr>
          <w:rFonts w:cs="FrankRuehl"/>
          <w:sz w:val="20"/>
          <w:szCs w:val="20"/>
          <w:rtl/>
          <w:lang w:eastAsia="en-US"/>
        </w:rPr>
        <w:cr/>
      </w:r>
      <w:r w:rsidRPr="00812ACF">
        <w:rPr>
          <w:rFonts w:cs="FrankRuehl"/>
          <w:sz w:val="20"/>
          <w:szCs w:val="20"/>
          <w:rtl/>
          <w:lang w:eastAsia="en-US"/>
        </w:rPr>
        <w:br w:type="page"/>
      </w:r>
      <w:bookmarkStart w:id="3" w:name="PsakDin"/>
    </w:p>
    <w:p w:rsidR="00812ACF" w:rsidRPr="00812ACF" w:rsidRDefault="00812ACF" w:rsidP="00812ACF">
      <w:pPr>
        <w:tabs>
          <w:tab w:val="left" w:pos="288"/>
          <w:tab w:val="left" w:pos="720"/>
          <w:tab w:val="left" w:pos="1296"/>
          <w:tab w:val="left" w:pos="4896"/>
        </w:tabs>
        <w:spacing w:after="80" w:line="260" w:lineRule="exact"/>
        <w:jc w:val="center"/>
        <w:rPr>
          <w:rFonts w:cs="FrankRuehl"/>
          <w:bCs/>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jc w:val="center"/>
        <w:rPr>
          <w:rFonts w:cs="FrankRuehl"/>
          <w:bCs/>
          <w:sz w:val="20"/>
          <w:szCs w:val="20"/>
          <w:lang w:eastAsia="en-US"/>
        </w:rPr>
      </w:pPr>
      <w:r w:rsidRPr="00812ACF">
        <w:rPr>
          <w:rFonts w:cs="FrankRuehl"/>
          <w:bCs/>
          <w:sz w:val="20"/>
          <w:szCs w:val="20"/>
          <w:rtl/>
          <w:lang w:eastAsia="en-US"/>
        </w:rPr>
        <w:t>פסק-דין</w:t>
      </w:r>
    </w:p>
    <w:bookmarkEnd w:id="3"/>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r w:rsidRPr="00812ACF">
        <w:rPr>
          <w:rFonts w:cs="FrankRuehl"/>
          <w:sz w:val="20"/>
          <w:szCs w:val="20"/>
          <w:rtl/>
          <w:lang w:eastAsia="en-US"/>
        </w:rPr>
        <w:t>השופטת ש' נתניהו: ערעור זה (ברשות) מעורר שאלה בעלת חשיבות, עקרונית</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ומעשית כאחד, שטרם נדונה: האם מוסמך בית המשפט בקובלנה פרטית לצוות על מעצרו</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של הנאשם עד לתום ההליכים בעילה של שיבוש הליכי משפט</w:t>
      </w:r>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r w:rsidRPr="00812ACF">
        <w:rPr>
          <w:rFonts w:cs="FrankRuehl"/>
          <w:sz w:val="20"/>
          <w:szCs w:val="20"/>
          <w:rtl/>
          <w:lang w:eastAsia="en-US"/>
        </w:rPr>
        <w:t xml:space="preserve"> בבקשתו לערכאה הראשונה - בית משפט השלום בתל אביב יפו (כבוד השופטת ר' אלקבץ) - טען המשיב, כי בעקבות הגשת קובלנה שהגיש נגד המבקש על לשון הרע, החל המבקש לאיים עליו ולהטריד אותו וגם את עדיו. בשל כך ביקש לעצור את המבקש עד תום ההליכים. הערכאה הראשונה דחתה את הבקשה מהנימוק שלקובל פרטי אין זכות </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r w:rsidRPr="00812ACF">
        <w:rPr>
          <w:rFonts w:cs="FrankRuehl"/>
          <w:sz w:val="20"/>
          <w:szCs w:val="20"/>
          <w:rtl/>
          <w:lang w:eastAsia="en-US"/>
        </w:rPr>
        <w:t>לבקש מעצר לפי פרק ג' ל</w:t>
      </w:r>
      <w:hyperlink r:id="rId43"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תשמ"ב-</w:t>
      </w:r>
      <w:r w:rsidRPr="00812ACF">
        <w:rPr>
          <w:rFonts w:cs="FrankRuehl"/>
          <w:sz w:val="20"/>
          <w:szCs w:val="20"/>
          <w:lang w:eastAsia="en-US"/>
        </w:rPr>
        <w:t xml:space="preserve"> .1982</w:t>
      </w:r>
      <w:r w:rsidRPr="00812ACF">
        <w:rPr>
          <w:rFonts w:cs="FrankRuehl"/>
          <w:sz w:val="20"/>
          <w:szCs w:val="20"/>
          <w:rtl/>
          <w:lang w:eastAsia="en-US"/>
        </w:rPr>
        <w:t xml:space="preserve">על כך ערר המשיב לבית המשפט המחוזי (כבוד השופט א' </w:t>
      </w:r>
      <w:proofErr w:type="spellStart"/>
      <w:r w:rsidRPr="00812ACF">
        <w:rPr>
          <w:rFonts w:cs="FrankRuehl"/>
          <w:sz w:val="20"/>
          <w:szCs w:val="20"/>
          <w:rtl/>
          <w:lang w:eastAsia="en-US"/>
        </w:rPr>
        <w:t>שטרוזמן</w:t>
      </w:r>
      <w:proofErr w:type="spellEnd"/>
      <w:r w:rsidRPr="00812ACF">
        <w:rPr>
          <w:rFonts w:cs="FrankRuehl"/>
          <w:sz w:val="20"/>
          <w:szCs w:val="20"/>
          <w:rtl/>
          <w:lang w:eastAsia="en-US"/>
        </w:rPr>
        <w:t xml:space="preserve">), וזה קיבל את עררו והחליט להחזיר את הדיון לערכאה הראשונה כדי שתדון בבקשת המעצר לגופה, אם </w:t>
      </w:r>
      <w:r w:rsidRPr="00812ACF">
        <w:rPr>
          <w:rFonts w:cs="FrankRuehl"/>
          <w:sz w:val="20"/>
          <w:szCs w:val="20"/>
          <w:rtl/>
          <w:lang w:eastAsia="en-US"/>
        </w:rPr>
        <w:softHyphen/>
        <w:t>למרות חלוף הזמן - יעמוד המשיב על בקשתו. על החלטה זו ביקש המבקש רשות לערער, והרשות ניתנה לו.</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r w:rsidRPr="00812ACF">
        <w:rPr>
          <w:rFonts w:cs="FrankRuehl"/>
          <w:sz w:val="20"/>
          <w:szCs w:val="20"/>
          <w:rtl/>
          <w:lang w:eastAsia="en-US"/>
        </w:rPr>
        <w:t>בשל חשיבותה של השאלה ביקשנו את הצטרפותו של היועץ המשפטי לממשלה, וכך</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נעשה</w:t>
      </w:r>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lang w:eastAsia="en-US"/>
        </w:rPr>
        <w:t xml:space="preserve"> .2</w:t>
      </w:r>
      <w:r w:rsidRPr="00812ACF">
        <w:rPr>
          <w:rFonts w:cs="FrankRuehl"/>
          <w:sz w:val="20"/>
          <w:szCs w:val="20"/>
          <w:rtl/>
          <w:lang w:eastAsia="en-US"/>
        </w:rPr>
        <w:t xml:space="preserve">הקובלנה הפרטית מעוגנת אצלנו בסימן ב' של פרק ד' של </w:t>
      </w:r>
      <w:hyperlink r:id="rId44" w:history="1">
        <w:r w:rsidRPr="00812ACF">
          <w:rPr>
            <w:rStyle w:val="Hyperlink"/>
            <w:rFonts w:cs="FrankRuehl"/>
            <w:sz w:val="20"/>
            <w:szCs w:val="20"/>
            <w:rtl/>
            <w:lang w:eastAsia="en-US"/>
          </w:rPr>
          <w:t>חוק סדר הדין</w:t>
        </w:r>
        <w:r w:rsidRPr="00812ACF">
          <w:rPr>
            <w:rStyle w:val="Hyperlink"/>
            <w:rFonts w:cs="FrankRuehl"/>
            <w:sz w:val="20"/>
            <w:szCs w:val="20"/>
            <w:rtl/>
            <w:lang w:eastAsia="en-US"/>
          </w:rPr>
          <w:cr/>
          <w:t xml:space="preserve"> הפלילי [נוסח משולב]</w:t>
        </w:r>
      </w:hyperlink>
      <w:r w:rsidRPr="00812ACF">
        <w:rPr>
          <w:rFonts w:cs="FrankRuehl"/>
          <w:sz w:val="20"/>
          <w:szCs w:val="20"/>
          <w:rtl/>
          <w:lang w:eastAsia="en-US"/>
        </w:rPr>
        <w:t xml:space="preserve"> (להלן - החוק). ראה סעיף </w:t>
      </w:r>
      <w:r w:rsidRPr="00812ACF">
        <w:rPr>
          <w:rFonts w:cs="FrankRuehl"/>
          <w:sz w:val="20"/>
          <w:szCs w:val="20"/>
          <w:lang w:eastAsia="en-US"/>
        </w:rPr>
        <w:t>68:</w:t>
      </w:r>
    </w:p>
    <w:p w:rsidR="00812ACF" w:rsidRPr="00812ACF" w:rsidRDefault="00812ACF" w:rsidP="00812ACF">
      <w:pPr>
        <w:tabs>
          <w:tab w:val="left" w:pos="288"/>
          <w:tab w:val="left" w:pos="720"/>
          <w:tab w:val="left" w:pos="1296"/>
          <w:tab w:val="left" w:pos="4896"/>
        </w:tabs>
        <w:spacing w:after="80" w:line="260" w:lineRule="exact"/>
        <w:ind w:left="567" w:right="567"/>
        <w:jc w:val="center"/>
        <w:rPr>
          <w:rFonts w:cs="FrankRuehl"/>
          <w:sz w:val="20"/>
          <w:szCs w:val="20"/>
          <w:rtl/>
          <w:lang w:eastAsia="en-US"/>
        </w:rPr>
      </w:pPr>
      <w:proofErr w:type="gramStart"/>
      <w:r w:rsidRPr="00812ACF">
        <w:rPr>
          <w:rFonts w:cs="FrankRuehl"/>
          <w:sz w:val="20"/>
          <w:szCs w:val="20"/>
          <w:lang w:eastAsia="en-US"/>
        </w:rPr>
        <w:t>"</w:t>
      </w:r>
      <w:r w:rsidRPr="00812ACF">
        <w:rPr>
          <w:rFonts w:cs="FrankRuehl"/>
          <w:sz w:val="20"/>
          <w:szCs w:val="20"/>
          <w:rtl/>
          <w:lang w:eastAsia="en-US"/>
        </w:rPr>
        <w:t xml:space="preserve">על אף האמור בסעיף </w:t>
      </w:r>
      <w:r w:rsidRPr="00812ACF">
        <w:rPr>
          <w:rFonts w:cs="FrankRuehl"/>
          <w:sz w:val="20"/>
          <w:szCs w:val="20"/>
          <w:lang w:eastAsia="en-US"/>
        </w:rPr>
        <w:t>11</w:t>
      </w:r>
      <w:r w:rsidRPr="00812ACF">
        <w:rPr>
          <w:rFonts w:cs="FrankRuehl"/>
          <w:sz w:val="20"/>
          <w:szCs w:val="20"/>
          <w:rtl/>
          <w:lang w:eastAsia="en-US"/>
        </w:rPr>
        <w:t xml:space="preserve">רשאי כל אדם להאשים בעבירה מן המנויות בתוספת </w:t>
      </w:r>
      <w:proofErr w:type="spellStart"/>
      <w:r w:rsidRPr="00812ACF">
        <w:rPr>
          <w:rFonts w:cs="FrankRuehl"/>
          <w:sz w:val="20"/>
          <w:szCs w:val="20"/>
          <w:rtl/>
          <w:lang w:eastAsia="en-US"/>
        </w:rPr>
        <w:t>השניה</w:t>
      </w:r>
      <w:proofErr w:type="spellEnd"/>
      <w:r w:rsidRPr="00812ACF">
        <w:rPr>
          <w:rFonts w:cs="FrankRuehl"/>
          <w:sz w:val="20"/>
          <w:szCs w:val="20"/>
          <w:rtl/>
          <w:lang w:eastAsia="en-US"/>
        </w:rPr>
        <w:t xml:space="preserve"> על ידי הגשת קובלנה לבית המשפט".</w:t>
      </w:r>
      <w:proofErr w:type="gramEnd"/>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על הקובלנה חלות הוראות החוק, בהסתייגויות האמורות בסעיף </w:t>
      </w:r>
      <w:r w:rsidRPr="00812ACF">
        <w:rPr>
          <w:rFonts w:cs="FrankRuehl"/>
          <w:sz w:val="20"/>
          <w:szCs w:val="20"/>
          <w:lang w:eastAsia="en-US"/>
        </w:rPr>
        <w:t>70:</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proofErr w:type="gramStart"/>
      <w:r w:rsidRPr="00812ACF">
        <w:rPr>
          <w:rFonts w:cs="FrankRuehl"/>
          <w:sz w:val="20"/>
          <w:szCs w:val="20"/>
          <w:lang w:eastAsia="en-US"/>
        </w:rPr>
        <w:t>"</w:t>
      </w:r>
      <w:r w:rsidRPr="00812ACF">
        <w:rPr>
          <w:rFonts w:cs="FrankRuehl"/>
          <w:sz w:val="20"/>
          <w:szCs w:val="20"/>
          <w:rtl/>
          <w:lang w:eastAsia="en-US"/>
        </w:rPr>
        <w:t xml:space="preserve">הוראות חוק זה הנוגעות לכתב אישום יחולו על קובלנה, בשינויים לפי </w:t>
      </w:r>
      <w:proofErr w:type="spellStart"/>
      <w:r w:rsidRPr="00812ACF">
        <w:rPr>
          <w:rFonts w:cs="FrankRuehl"/>
          <w:sz w:val="20"/>
          <w:szCs w:val="20"/>
          <w:rtl/>
          <w:lang w:eastAsia="en-US"/>
        </w:rPr>
        <w:t>הענין</w:t>
      </w:r>
      <w:proofErr w:type="spellEnd"/>
      <w:r w:rsidRPr="00812ACF">
        <w:rPr>
          <w:rFonts w:cs="FrankRuehl"/>
          <w:sz w:val="20"/>
          <w:szCs w:val="20"/>
          <w:rtl/>
          <w:lang w:eastAsia="en-US"/>
        </w:rPr>
        <w:t>; בכל מקום שמדובר בכתב אישום גם קובלנה במשמע, ובכל מקום שמדובר בתובע גם קובל במשמע, אם אין כוונה אחרת משתמעת" (ההדגשות שלי - ש' נ').</w:t>
      </w:r>
      <w:proofErr w:type="gramEnd"/>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ההוראות בדבר מעצרו של נאשם עד תום ההליכים גם הן מהוראות החוק בפרק ג'. האם גם הן חלות על הקובלנה הפרטית? סעיף </w:t>
      </w:r>
      <w:r w:rsidRPr="00812ACF">
        <w:rPr>
          <w:rFonts w:cs="FrankRuehl"/>
          <w:sz w:val="20"/>
          <w:szCs w:val="20"/>
          <w:lang w:eastAsia="en-US"/>
        </w:rPr>
        <w:t>70</w:t>
      </w:r>
      <w:r w:rsidRPr="00812ACF">
        <w:rPr>
          <w:rFonts w:cs="FrankRuehl"/>
          <w:sz w:val="20"/>
          <w:szCs w:val="20"/>
          <w:rtl/>
          <w:lang w:eastAsia="en-US"/>
        </w:rPr>
        <w:t xml:space="preserve">, המדבר על "שינויים לפי </w:t>
      </w:r>
      <w:proofErr w:type="spellStart"/>
      <w:r w:rsidRPr="00812ACF">
        <w:rPr>
          <w:rFonts w:cs="FrankRuehl"/>
          <w:sz w:val="20"/>
          <w:szCs w:val="20"/>
          <w:rtl/>
          <w:lang w:eastAsia="en-US"/>
        </w:rPr>
        <w:t>הענין</w:t>
      </w:r>
      <w:proofErr w:type="spellEnd"/>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ועל "כוונה אחרת משתמעת", משאיר כאן רקמה פתוחה, המאפשרת לארוג לתוכה אותם</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תכנים</w:t>
      </w:r>
      <w:r w:rsidRPr="00812ACF">
        <w:rPr>
          <w:rFonts w:cs="FrankRuehl"/>
          <w:sz w:val="20"/>
          <w:szCs w:val="20"/>
          <w:lang w:eastAsia="en-US"/>
        </w:rPr>
        <w:t xml:space="preserve"> </w:t>
      </w:r>
      <w:r w:rsidRPr="00812ACF">
        <w:rPr>
          <w:rFonts w:cs="FrankRuehl"/>
          <w:sz w:val="20"/>
          <w:szCs w:val="20"/>
          <w:rtl/>
          <w:lang w:eastAsia="en-US"/>
        </w:rPr>
        <w:t>התואמים את המדיניות המשפטית הרצויה בהתאם למהותה ולאופייה של הקובלנה</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הפרטית ובהתחשב במטרותיה, מחד, ובמטרות המעצר עד תום ההליכים, מאידך. לא</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אקדים אם כך את המאוחר למוקדם אם אפתח בתפישה של מוסד הקובלנה הפרטית וממנה</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אעבור לשאלת המעצר</w:t>
      </w:r>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הקובלנה הפרטית</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lang w:eastAsia="en-US"/>
        </w:rPr>
        <w:t xml:space="preserve"> .3</w:t>
      </w:r>
      <w:r w:rsidRPr="00812ACF">
        <w:rPr>
          <w:rFonts w:cs="FrankRuehl"/>
          <w:sz w:val="20"/>
          <w:szCs w:val="20"/>
          <w:rtl/>
          <w:lang w:eastAsia="en-US"/>
        </w:rPr>
        <w:t>יסוד</w:t>
      </w:r>
      <w:r w:rsidRPr="00812ACF">
        <w:rPr>
          <w:rFonts w:cs="FrankRuehl"/>
          <w:sz w:val="20"/>
          <w:szCs w:val="20"/>
          <w:lang w:eastAsia="en-US"/>
        </w:rPr>
        <w:t xml:space="preserve"> </w:t>
      </w:r>
      <w:r w:rsidRPr="00812ACF">
        <w:rPr>
          <w:rFonts w:cs="FrankRuehl"/>
          <w:sz w:val="20"/>
          <w:szCs w:val="20"/>
          <w:rtl/>
          <w:lang w:eastAsia="en-US"/>
        </w:rPr>
        <w:t>מוסד בשיטתנו, כמו בארצות המשפט המקובל ובקונטיננט, הוא, כי</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המדינה היא</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האחראית להבאת עבריינים לדין ולניהול ההליך הפלילי. הדבר בא לביטוי ברור</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בסעיף </w:t>
      </w:r>
      <w:r w:rsidRPr="00812ACF">
        <w:rPr>
          <w:rFonts w:cs="FrankRuehl"/>
          <w:sz w:val="20"/>
          <w:szCs w:val="20"/>
          <w:lang w:eastAsia="en-US"/>
        </w:rPr>
        <w:t>11</w:t>
      </w:r>
      <w:r w:rsidRPr="00812ACF">
        <w:rPr>
          <w:rFonts w:cs="FrankRuehl"/>
          <w:sz w:val="20"/>
          <w:szCs w:val="20"/>
          <w:rtl/>
          <w:lang w:eastAsia="en-US"/>
        </w:rPr>
        <w:t>של החוק</w:t>
      </w:r>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lang w:eastAsia="en-US"/>
        </w:rPr>
        <w:t>"</w:t>
      </w:r>
      <w:r w:rsidRPr="00812ACF">
        <w:rPr>
          <w:rFonts w:cs="FrankRuehl"/>
          <w:sz w:val="20"/>
          <w:szCs w:val="20"/>
          <w:rtl/>
          <w:lang w:eastAsia="en-US"/>
        </w:rPr>
        <w:t>המאשים במשפט פלילי היא המדינה והיא תיוצג בידי תובע שינהל את</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התביעה</w:t>
      </w:r>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r w:rsidRPr="00812ACF">
        <w:rPr>
          <w:rFonts w:cs="FrankRuehl"/>
          <w:sz w:val="20"/>
          <w:szCs w:val="20"/>
          <w:rtl/>
          <w:lang w:eastAsia="en-US"/>
        </w:rPr>
        <w:t xml:space="preserve"> עיקרון זה נובע מההשקפה, כי העבירה הפלילית היא פגיעה בציבור, בחברה כולה, ולכן עניינה של החברה הוא שהעבריין יבוא על עונשו. ראה ש"ז </w:t>
      </w:r>
      <w:hyperlink r:id="rId45" w:history="1">
        <w:r w:rsidRPr="00812ACF">
          <w:rPr>
            <w:rStyle w:val="Hyperlink"/>
            <w:rFonts w:cs="FrankRuehl"/>
            <w:sz w:val="20"/>
            <w:szCs w:val="20"/>
            <w:rtl/>
            <w:lang w:eastAsia="en-US"/>
          </w:rPr>
          <w:t>פלר, יסודות בדיני עונשין</w:t>
        </w:r>
      </w:hyperlink>
      <w:r w:rsidRPr="00812ACF">
        <w:rPr>
          <w:rFonts w:cs="FrankRuehl"/>
          <w:sz w:val="20"/>
          <w:szCs w:val="20"/>
          <w:rtl/>
          <w:lang w:eastAsia="en-US"/>
        </w:rPr>
        <w:t xml:space="preserve"> (המכון למחקרי חקיקה ולמשפט השוואתי ע"ש הרי </w:t>
      </w:r>
      <w:proofErr w:type="spellStart"/>
      <w:r w:rsidRPr="00812ACF">
        <w:rPr>
          <w:rFonts w:cs="FrankRuehl"/>
          <w:sz w:val="20"/>
          <w:szCs w:val="20"/>
          <w:rtl/>
          <w:lang w:eastAsia="en-US"/>
        </w:rPr>
        <w:t>סאקר</w:t>
      </w:r>
      <w:proofErr w:type="spellEnd"/>
      <w:r w:rsidRPr="00812ACF">
        <w:rPr>
          <w:rFonts w:cs="FrankRuehl"/>
          <w:sz w:val="20"/>
          <w:szCs w:val="20"/>
          <w:rtl/>
          <w:lang w:eastAsia="en-US"/>
        </w:rPr>
        <w:t xml:space="preserve">, כרך א, תשמ"ד) </w:t>
      </w:r>
      <w:r w:rsidRPr="00812ACF">
        <w:rPr>
          <w:rFonts w:cs="FrankRuehl"/>
          <w:sz w:val="20"/>
          <w:szCs w:val="20"/>
          <w:lang w:eastAsia="en-US"/>
        </w:rPr>
        <w:t>108</w:t>
      </w:r>
      <w:r w:rsidRPr="00812ACF">
        <w:rPr>
          <w:rFonts w:cs="FrankRuehl"/>
          <w:sz w:val="20"/>
          <w:szCs w:val="20"/>
          <w:rtl/>
          <w:lang w:eastAsia="en-US"/>
        </w:rPr>
        <w:t>:</w:t>
      </w:r>
    </w:p>
    <w:p w:rsidR="00812ACF" w:rsidRPr="00812ACF" w:rsidRDefault="00812ACF" w:rsidP="00812ACF">
      <w:pPr>
        <w:tabs>
          <w:tab w:val="left" w:pos="288"/>
          <w:tab w:val="left" w:pos="720"/>
          <w:tab w:val="left" w:pos="1296"/>
          <w:tab w:val="left" w:pos="4896"/>
        </w:tabs>
        <w:spacing w:after="80" w:line="260" w:lineRule="exact"/>
        <w:ind w:left="567" w:right="567"/>
        <w:jc w:val="center"/>
        <w:rPr>
          <w:rFonts w:cs="FrankRuehl"/>
          <w:sz w:val="20"/>
          <w:szCs w:val="20"/>
          <w:rtl/>
          <w:lang w:eastAsia="en-US"/>
        </w:rPr>
      </w:pPr>
      <w:proofErr w:type="gramStart"/>
      <w:r w:rsidRPr="00812ACF">
        <w:rPr>
          <w:rFonts w:cs="FrankRuehl"/>
          <w:sz w:val="20"/>
          <w:szCs w:val="20"/>
          <w:lang w:eastAsia="en-US"/>
        </w:rPr>
        <w:t>"</w:t>
      </w:r>
      <w:r w:rsidRPr="00812ACF">
        <w:rPr>
          <w:rFonts w:cs="FrankRuehl"/>
          <w:sz w:val="20"/>
          <w:szCs w:val="20"/>
          <w:rtl/>
          <w:lang w:eastAsia="en-US"/>
        </w:rPr>
        <w:t>הרקע לעקרון לפיו הגשמת האחריות היא עניינו של הריבון בלבד הוא בהיות העבירה ביטוי לקונפליקט בין הפרט שביצעה לבין החברה המאורגנת כולה.</w:t>
      </w:r>
      <w:proofErr w:type="gramEnd"/>
      <w:r w:rsidRPr="00812ACF">
        <w:rPr>
          <w:rFonts w:cs="FrankRuehl"/>
          <w:sz w:val="20"/>
          <w:szCs w:val="20"/>
          <w:rtl/>
          <w:lang w:eastAsia="en-US"/>
        </w:rPr>
        <w:t xml:space="preserve"> דיני העונשין חותמים את קו הגבול בין האסור לבין המותר לאור האינטרסים של הציבור כולו, לפי תפישותיו של הריבון; לכן הם מסדירים את הזיקה המשפטית הנוצרת עקב ביצוע עבירה פלילית כזיקה בין המדינה המסמלת את החברה המאורגנת לבין הפרט עושה העבירה ולא כזיקה בין פרט לרעהו, למרות שהעבירה כשהיא גורמת נזק לפרט, עשויה להיות גם עילה אזרחית להשבת נזק זה".</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ביטוי לכך נמצא בפסק דינו של הנשיא שמגר </w:t>
      </w:r>
      <w:hyperlink r:id="rId46" w:history="1">
        <w:r w:rsidRPr="00812ACF">
          <w:rPr>
            <w:rStyle w:val="Hyperlink"/>
            <w:rFonts w:cs="FrankRuehl"/>
            <w:sz w:val="20"/>
            <w:szCs w:val="20"/>
            <w:rtl/>
            <w:lang w:eastAsia="en-US"/>
          </w:rPr>
          <w:t>בר"ע 40/86</w:t>
        </w:r>
      </w:hyperlink>
      <w:r w:rsidRPr="00812ACF">
        <w:rPr>
          <w:rFonts w:cs="FrankRuehl"/>
          <w:sz w:val="20"/>
          <w:szCs w:val="20"/>
          <w:rtl/>
          <w:lang w:eastAsia="en-US"/>
        </w:rPr>
        <w:t xml:space="preserve"> [1],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238:</w:t>
      </w:r>
    </w:p>
    <w:p w:rsidR="00812ACF" w:rsidRPr="00812ACF" w:rsidRDefault="00812ACF" w:rsidP="00812ACF">
      <w:pPr>
        <w:tabs>
          <w:tab w:val="left" w:pos="288"/>
          <w:tab w:val="left" w:pos="720"/>
          <w:tab w:val="left" w:pos="1296"/>
          <w:tab w:val="left" w:pos="4896"/>
        </w:tabs>
        <w:spacing w:after="80" w:line="260" w:lineRule="exact"/>
        <w:ind w:left="567" w:right="567"/>
        <w:jc w:val="center"/>
        <w:rPr>
          <w:rFonts w:cs="FrankRuehl"/>
          <w:sz w:val="20"/>
          <w:szCs w:val="20"/>
          <w:rtl/>
          <w:lang w:eastAsia="en-US"/>
        </w:rPr>
      </w:pPr>
      <w:proofErr w:type="gramStart"/>
      <w:r w:rsidRPr="00812ACF">
        <w:rPr>
          <w:rFonts w:cs="FrankRuehl"/>
          <w:sz w:val="20"/>
          <w:szCs w:val="20"/>
          <w:lang w:eastAsia="en-US"/>
        </w:rPr>
        <w:t>"</w:t>
      </w:r>
      <w:r w:rsidRPr="00812ACF">
        <w:rPr>
          <w:rFonts w:cs="FrankRuehl"/>
          <w:sz w:val="20"/>
          <w:szCs w:val="20"/>
          <w:rtl/>
          <w:lang w:eastAsia="en-US"/>
        </w:rPr>
        <w:t>הענישה הפלילית אינה פרי רצונו ופועלו של הפרט - הנפגע, אלא היא פעולתה של המדינה בתור שכזאת."</w:t>
      </w:r>
      <w:proofErr w:type="gramEnd"/>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 מטרות הענישה לפי תפישה זו הן לגמול לעבריין על מעשיו, להרתיעו ולהרתיע את הרבים ואף לתת ביטוי להשקפות החברה על הנורמות החוקיות והמוסריות שלה. סיפוק רגשי נקם של הקורבן אינם, לפי השקפה זו</w:t>
      </w:r>
      <w:r w:rsidRPr="00812ACF">
        <w:rPr>
          <w:rFonts w:cs="FrankRuehl"/>
          <w:sz w:val="20"/>
          <w:szCs w:val="20"/>
          <w:lang w:eastAsia="en-US"/>
        </w:rPr>
        <w:t xml:space="preserve">, </w:t>
      </w:r>
      <w:r w:rsidRPr="00812ACF">
        <w:rPr>
          <w:rFonts w:cs="FrankRuehl"/>
          <w:sz w:val="20"/>
          <w:szCs w:val="20"/>
          <w:rtl/>
          <w:lang w:eastAsia="en-US"/>
        </w:rPr>
        <w:t xml:space="preserve">ממטרותיו של המשפט הפלילי. ההתחשבות בקורבן בהליך הפלילי מתמצה אצלנו באפשרות לחייב את הנאשם שהורשע לשלם לקורבן פיצויים, בסכומים מוגבלים (ראה סעיף </w:t>
      </w:r>
      <w:r w:rsidRPr="00812ACF">
        <w:rPr>
          <w:rFonts w:cs="FrankRuehl"/>
          <w:sz w:val="20"/>
          <w:szCs w:val="20"/>
          <w:lang w:eastAsia="en-US"/>
        </w:rPr>
        <w:t>77</w:t>
      </w:r>
      <w:r w:rsidRPr="00812ACF">
        <w:rPr>
          <w:rFonts w:cs="FrankRuehl"/>
          <w:sz w:val="20"/>
          <w:szCs w:val="20"/>
          <w:rtl/>
          <w:lang w:eastAsia="en-US"/>
        </w:rPr>
        <w:t>ל</w:t>
      </w:r>
      <w:hyperlink r:id="rId47" w:history="1">
        <w:r w:rsidRPr="00812ACF">
          <w:rPr>
            <w:rStyle w:val="Hyperlink"/>
            <w:rFonts w:cs="FrankRuehl"/>
            <w:sz w:val="20"/>
            <w:szCs w:val="20"/>
            <w:rtl/>
            <w:lang w:eastAsia="en-US"/>
          </w:rPr>
          <w:t>חוק העונשין</w:t>
        </w:r>
      </w:hyperlink>
      <w:r w:rsidRPr="00812ACF">
        <w:rPr>
          <w:rFonts w:cs="FrankRuehl"/>
          <w:sz w:val="20"/>
          <w:szCs w:val="20"/>
          <w:rtl/>
          <w:lang w:eastAsia="en-US"/>
        </w:rPr>
        <w:t>, תשל"ז-</w:t>
      </w:r>
      <w:r w:rsidRPr="00812ACF">
        <w:rPr>
          <w:rFonts w:cs="FrankRuehl"/>
          <w:sz w:val="20"/>
          <w:szCs w:val="20"/>
          <w:lang w:eastAsia="en-US"/>
        </w:rPr>
        <w:t>1977</w:t>
      </w:r>
      <w:r w:rsidRPr="00812ACF">
        <w:rPr>
          <w:rFonts w:cs="FrankRuehl"/>
          <w:sz w:val="20"/>
          <w:szCs w:val="20"/>
          <w:rtl/>
          <w:lang w:eastAsia="en-US"/>
        </w:rPr>
        <w:t>)</w:t>
      </w:r>
      <w:r w:rsidRPr="00812ACF">
        <w:rPr>
          <w:rFonts w:cs="FrankRuehl"/>
          <w:sz w:val="20"/>
          <w:szCs w:val="20"/>
          <w:lang w:eastAsia="en-US"/>
        </w:rPr>
        <w:t>.</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.4</w:t>
      </w:r>
      <w:r w:rsidRPr="00812ACF">
        <w:rPr>
          <w:rFonts w:cs="FrankRuehl"/>
          <w:sz w:val="20"/>
          <w:szCs w:val="20"/>
          <w:rtl/>
          <w:lang w:eastAsia="en-US"/>
        </w:rPr>
        <w:t>לצד עיקרון זה מוכרת אצלנו זכותו של הפרט להגיש קובלנה פרטית.</w:t>
      </w:r>
      <w:proofErr w:type="gramEnd"/>
      <w:r w:rsidRPr="00812ACF">
        <w:rPr>
          <w:rFonts w:cs="FrankRuehl"/>
          <w:sz w:val="20"/>
          <w:szCs w:val="20"/>
          <w:rtl/>
          <w:lang w:eastAsia="en-US"/>
        </w:rPr>
        <w:t xml:space="preserve"> זכות זו מעוגנת כיום, כאמור, בהוראות סימן ב' שבפרק ד' של החוק, על התיקונים שחלו בו מאז חוקק </w:t>
      </w:r>
      <w:proofErr w:type="spellStart"/>
      <w:r w:rsidRPr="00812ACF">
        <w:rPr>
          <w:rFonts w:cs="FrankRuehl"/>
          <w:sz w:val="20"/>
          <w:szCs w:val="20"/>
          <w:rtl/>
          <w:lang w:eastAsia="en-US"/>
        </w:rPr>
        <w:t>בגירסתו</w:t>
      </w:r>
      <w:proofErr w:type="spellEnd"/>
      <w:r w:rsidRPr="00812ACF">
        <w:rPr>
          <w:rFonts w:cs="FrankRuehl"/>
          <w:sz w:val="20"/>
          <w:szCs w:val="20"/>
          <w:rtl/>
          <w:lang w:eastAsia="en-US"/>
        </w:rPr>
        <w:t xml:space="preserve"> המקורית בתשכ"ה. אך תחילת ההיסטוריה החקיקתית שלה אצלנו, על תחומיה המשתנים, עוד בחוק </w:t>
      </w:r>
      <w:proofErr w:type="spellStart"/>
      <w:r w:rsidRPr="00812ACF">
        <w:rPr>
          <w:rFonts w:cs="FrankRuehl"/>
          <w:sz w:val="20"/>
          <w:szCs w:val="20"/>
          <w:rtl/>
          <w:lang w:eastAsia="en-US"/>
        </w:rPr>
        <w:t>העותמני</w:t>
      </w:r>
      <w:proofErr w:type="spellEnd"/>
      <w:r w:rsidRPr="00812ACF">
        <w:rPr>
          <w:rFonts w:cs="FrankRuehl"/>
          <w:sz w:val="20"/>
          <w:szCs w:val="20"/>
          <w:rtl/>
          <w:lang w:eastAsia="en-US"/>
        </w:rPr>
        <w:t xml:space="preserve"> שהכיר בה בסעיף </w:t>
      </w:r>
      <w:r w:rsidRPr="00812ACF">
        <w:rPr>
          <w:rFonts w:cs="FrankRuehl"/>
          <w:sz w:val="20"/>
          <w:szCs w:val="20"/>
          <w:lang w:eastAsia="en-US"/>
        </w:rPr>
        <w:t>58</w:t>
      </w:r>
      <w:r w:rsidRPr="00812ACF">
        <w:rPr>
          <w:rFonts w:cs="FrankRuehl"/>
          <w:sz w:val="20"/>
          <w:szCs w:val="20"/>
          <w:rtl/>
          <w:lang w:eastAsia="en-US"/>
        </w:rPr>
        <w:t xml:space="preserve">של חוק הפרוצדורה הפלילית </w:t>
      </w:r>
      <w:proofErr w:type="spellStart"/>
      <w:r w:rsidRPr="00812ACF">
        <w:rPr>
          <w:rFonts w:cs="FrankRuehl"/>
          <w:sz w:val="20"/>
          <w:szCs w:val="20"/>
          <w:rtl/>
          <w:lang w:eastAsia="en-US"/>
        </w:rPr>
        <w:t>העותמני</w:t>
      </w:r>
      <w:proofErr w:type="spellEnd"/>
      <w:r w:rsidRPr="00812ACF">
        <w:rPr>
          <w:rFonts w:cs="FrankRuehl"/>
          <w:sz w:val="20"/>
          <w:szCs w:val="20"/>
          <w:rtl/>
          <w:lang w:eastAsia="en-US"/>
        </w:rPr>
        <w:t xml:space="preserve"> מ- </w:t>
      </w:r>
      <w:r w:rsidRPr="00812ACF">
        <w:rPr>
          <w:rFonts w:cs="FrankRuehl"/>
          <w:sz w:val="20"/>
          <w:szCs w:val="20"/>
          <w:lang w:eastAsia="en-US"/>
        </w:rPr>
        <w:t>1879</w:t>
      </w:r>
      <w:r w:rsidRPr="00812ACF">
        <w:rPr>
          <w:rFonts w:cs="FrankRuehl"/>
          <w:sz w:val="20"/>
          <w:szCs w:val="20"/>
          <w:rtl/>
          <w:lang w:eastAsia="en-US"/>
        </w:rPr>
        <w:t xml:space="preserve">(כחריג לעיקרון הכללי שבסעיף </w:t>
      </w:r>
      <w:r w:rsidRPr="00812ACF">
        <w:rPr>
          <w:rFonts w:cs="FrankRuehl"/>
          <w:sz w:val="20"/>
          <w:szCs w:val="20"/>
          <w:lang w:eastAsia="en-US"/>
        </w:rPr>
        <w:t>1</w:t>
      </w:r>
      <w:r w:rsidRPr="00812ACF">
        <w:rPr>
          <w:rFonts w:cs="FrankRuehl"/>
          <w:sz w:val="20"/>
          <w:szCs w:val="20"/>
          <w:rtl/>
          <w:lang w:eastAsia="en-US"/>
        </w:rPr>
        <w:t xml:space="preserve">של אותו חוק). המשכה בחקיקה המנדטורית, בסעיף 3(ג) לפקודת חוק </w:t>
      </w:r>
      <w:proofErr w:type="spellStart"/>
      <w:r w:rsidRPr="00812ACF">
        <w:rPr>
          <w:rFonts w:cs="FrankRuehl"/>
          <w:sz w:val="20"/>
          <w:szCs w:val="20"/>
          <w:rtl/>
          <w:lang w:eastAsia="en-US"/>
        </w:rPr>
        <w:t>הפרוצידורה</w:t>
      </w:r>
      <w:proofErr w:type="spellEnd"/>
      <w:r w:rsidRPr="00812ACF">
        <w:rPr>
          <w:rFonts w:cs="FrankRuehl"/>
          <w:sz w:val="20"/>
          <w:szCs w:val="20"/>
          <w:rtl/>
          <w:lang w:eastAsia="en-US"/>
        </w:rPr>
        <w:t xml:space="preserve"> (תיקון), </w:t>
      </w:r>
      <w:r w:rsidRPr="00812ACF">
        <w:rPr>
          <w:rFonts w:cs="FrankRuehl"/>
          <w:sz w:val="20"/>
          <w:szCs w:val="20"/>
          <w:lang w:eastAsia="en-US"/>
        </w:rPr>
        <w:t>1934</w:t>
      </w:r>
      <w:r w:rsidRPr="00812ACF">
        <w:rPr>
          <w:rFonts w:cs="FrankRuehl"/>
          <w:sz w:val="20"/>
          <w:szCs w:val="20"/>
          <w:rtl/>
          <w:lang w:eastAsia="en-US"/>
        </w:rPr>
        <w:t xml:space="preserve">; סעיף </w:t>
      </w:r>
      <w:r w:rsidRPr="00812ACF">
        <w:rPr>
          <w:rFonts w:cs="FrankRuehl"/>
          <w:sz w:val="20"/>
          <w:szCs w:val="20"/>
          <w:lang w:eastAsia="en-US"/>
        </w:rPr>
        <w:t>19</w:t>
      </w:r>
      <w:r w:rsidRPr="00812ACF">
        <w:rPr>
          <w:rFonts w:cs="FrankRuehl"/>
          <w:sz w:val="20"/>
          <w:szCs w:val="20"/>
          <w:rtl/>
          <w:lang w:eastAsia="en-US"/>
        </w:rPr>
        <w:t xml:space="preserve">לפקודת שיפוט בתי משפט השלום, </w:t>
      </w:r>
      <w:r w:rsidRPr="00812ACF">
        <w:rPr>
          <w:rFonts w:cs="FrankRuehl"/>
          <w:sz w:val="20"/>
          <w:szCs w:val="20"/>
          <w:lang w:eastAsia="en-US"/>
        </w:rPr>
        <w:t>1947</w:t>
      </w:r>
      <w:r w:rsidRPr="00812ACF">
        <w:rPr>
          <w:rFonts w:cs="FrankRuehl"/>
          <w:sz w:val="20"/>
          <w:szCs w:val="20"/>
          <w:rtl/>
          <w:lang w:eastAsia="en-US"/>
        </w:rPr>
        <w:t>(שתוקנה על ידי המחוקק הישראלי</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בחוק לתיקון פקודת שיפוט בתי משפט השלום (מס 2), תשי"ד-</w:t>
      </w:r>
      <w:r w:rsidRPr="00812ACF">
        <w:rPr>
          <w:rFonts w:cs="FrankRuehl"/>
          <w:sz w:val="20"/>
          <w:szCs w:val="20"/>
          <w:lang w:eastAsia="en-US"/>
        </w:rPr>
        <w:t>1954</w:t>
      </w:r>
      <w:r w:rsidRPr="00812ACF">
        <w:rPr>
          <w:rFonts w:cs="FrankRuehl"/>
          <w:sz w:val="20"/>
          <w:szCs w:val="20"/>
          <w:rtl/>
          <w:lang w:eastAsia="en-US"/>
        </w:rPr>
        <w:t>), ותקנה</w:t>
      </w:r>
      <w:r w:rsidRPr="00812ACF">
        <w:rPr>
          <w:rFonts w:cs="FrankRuehl"/>
          <w:sz w:val="20"/>
          <w:szCs w:val="20"/>
          <w:lang w:eastAsia="en-US"/>
        </w:rPr>
        <w:t xml:space="preserve"> 242</w:t>
      </w:r>
    </w:p>
    <w:p w:rsidR="00812ACF" w:rsidRPr="00812ACF" w:rsidRDefault="00812ACF" w:rsidP="00812ACF">
      <w:pPr>
        <w:tabs>
          <w:tab w:val="left" w:pos="288"/>
          <w:tab w:val="left" w:pos="720"/>
          <w:tab w:val="left" w:pos="1296"/>
          <w:tab w:val="left" w:pos="4896"/>
        </w:tabs>
        <w:spacing w:after="80" w:line="260" w:lineRule="exact"/>
        <w:ind w:firstLine="283"/>
        <w:jc w:val="center"/>
        <w:rPr>
          <w:rFonts w:cs="FrankRuehl"/>
          <w:sz w:val="20"/>
          <w:szCs w:val="20"/>
          <w:lang w:eastAsia="en-US"/>
        </w:rPr>
      </w:pPr>
      <w:r w:rsidRPr="00812ACF">
        <w:rPr>
          <w:rFonts w:cs="FrankRuehl"/>
          <w:sz w:val="20"/>
          <w:szCs w:val="20"/>
          <w:rtl/>
          <w:lang w:eastAsia="en-US"/>
        </w:rPr>
        <w:t xml:space="preserve">לתקנות </w:t>
      </w:r>
      <w:proofErr w:type="spellStart"/>
      <w:r w:rsidRPr="00812ACF">
        <w:rPr>
          <w:rFonts w:cs="FrankRuehl"/>
          <w:sz w:val="20"/>
          <w:szCs w:val="20"/>
          <w:rtl/>
          <w:lang w:eastAsia="en-US"/>
        </w:rPr>
        <w:t>הפרוצידורה</w:t>
      </w:r>
      <w:proofErr w:type="spellEnd"/>
      <w:r w:rsidRPr="00812ACF">
        <w:rPr>
          <w:rFonts w:cs="FrankRuehl"/>
          <w:sz w:val="20"/>
          <w:szCs w:val="20"/>
          <w:rtl/>
          <w:lang w:eastAsia="en-US"/>
        </w:rPr>
        <w:t xml:space="preserve"> בבתי משפט השלום, </w:t>
      </w:r>
      <w:r w:rsidRPr="00812ACF">
        <w:rPr>
          <w:rFonts w:cs="FrankRuehl"/>
          <w:sz w:val="20"/>
          <w:szCs w:val="20"/>
          <w:lang w:eastAsia="en-US"/>
        </w:rPr>
        <w:t>.1940</w:t>
      </w:r>
      <w:r w:rsidRPr="00812ACF">
        <w:rPr>
          <w:rFonts w:cs="FrankRuehl"/>
          <w:sz w:val="20"/>
          <w:szCs w:val="20"/>
          <w:rtl/>
          <w:lang w:eastAsia="en-US"/>
        </w:rPr>
        <w:t xml:space="preserve">המחוקק המנדטורי גם הכיר בקובלנה פרטית בהליך בפני שופט חוקר בפשעים חמורים, לפי סעיף </w:t>
      </w:r>
      <w:r w:rsidRPr="00812ACF">
        <w:rPr>
          <w:rFonts w:cs="FrankRuehl"/>
          <w:sz w:val="20"/>
          <w:szCs w:val="20"/>
          <w:lang w:eastAsia="en-US"/>
        </w:rPr>
        <w:t>5</w:t>
      </w:r>
      <w:r w:rsidRPr="00812ACF">
        <w:rPr>
          <w:rFonts w:cs="FrankRuehl"/>
          <w:sz w:val="20"/>
          <w:szCs w:val="20"/>
          <w:rtl/>
          <w:lang w:eastAsia="en-US"/>
        </w:rPr>
        <w:t xml:space="preserve">של פקודת </w:t>
      </w:r>
      <w:proofErr w:type="spellStart"/>
      <w:r w:rsidRPr="00812ACF">
        <w:rPr>
          <w:rFonts w:cs="FrankRuehl"/>
          <w:sz w:val="20"/>
          <w:szCs w:val="20"/>
          <w:rtl/>
          <w:lang w:eastAsia="en-US"/>
        </w:rPr>
        <w:t>הפרוצידורה</w:t>
      </w:r>
      <w:proofErr w:type="spellEnd"/>
      <w:r w:rsidRPr="00812ACF">
        <w:rPr>
          <w:rFonts w:cs="FrankRuehl"/>
          <w:sz w:val="20"/>
          <w:szCs w:val="20"/>
          <w:rtl/>
          <w:lang w:eastAsia="en-US"/>
        </w:rPr>
        <w:t xml:space="preserve"> הפלילית (שפיטה עפ"י כתב האשמה)</w:t>
      </w:r>
    </w:p>
    <w:p w:rsidR="00812ACF" w:rsidRPr="00812ACF" w:rsidRDefault="00812ACF" w:rsidP="00812ACF">
      <w:pPr>
        <w:tabs>
          <w:tab w:val="decimal" w:pos="288"/>
          <w:tab w:val="left" w:pos="720"/>
          <w:tab w:val="left" w:pos="1296"/>
          <w:tab w:val="left" w:pos="4896"/>
        </w:tabs>
        <w:spacing w:after="80" w:line="260" w:lineRule="exact"/>
        <w:ind w:firstLine="283"/>
        <w:rPr>
          <w:rFonts w:cs="FrankRuehl"/>
          <w:sz w:val="20"/>
          <w:szCs w:val="20"/>
          <w:lang w:eastAsia="en-US"/>
        </w:rPr>
      </w:pPr>
      <w:bookmarkStart w:id="4" w:name="LastJudge"/>
      <w:bookmarkEnd w:id="4"/>
    </w:p>
    <w:p w:rsidR="00812ACF" w:rsidRPr="00812ACF" w:rsidRDefault="00812ACF" w:rsidP="00812ACF">
      <w:pPr>
        <w:tabs>
          <w:tab w:val="decimal" w:pos="288"/>
          <w:tab w:val="left" w:pos="720"/>
          <w:tab w:val="left" w:pos="1296"/>
          <w:tab w:val="left" w:pos="4896"/>
        </w:tabs>
        <w:spacing w:after="80" w:line="260" w:lineRule="exact"/>
        <w:ind w:firstLine="283"/>
        <w:rPr>
          <w:rFonts w:cs="FrankRuehl"/>
          <w:sz w:val="20"/>
          <w:szCs w:val="20"/>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w:t>
      </w:r>
      <w:r w:rsidRPr="00812ACF">
        <w:rPr>
          <w:rFonts w:cs="FrankRuehl"/>
          <w:sz w:val="20"/>
          <w:szCs w:val="20"/>
          <w:rtl/>
          <w:lang w:eastAsia="en-US"/>
        </w:rPr>
        <w:t>(</w:t>
      </w:r>
      <w:proofErr w:type="gramEnd"/>
      <w:r w:rsidRPr="00812ACF">
        <w:rPr>
          <w:rFonts w:cs="FrankRuehl"/>
          <w:sz w:val="20"/>
          <w:szCs w:val="20"/>
          <w:lang w:eastAsia="en-US"/>
        </w:rPr>
        <w:t>Trial upon information ordinance</w:t>
      </w:r>
      <w:r w:rsidRPr="00812ACF">
        <w:rPr>
          <w:rFonts w:cs="FrankRuehl"/>
          <w:sz w:val="20"/>
          <w:szCs w:val="20"/>
          <w:rtl/>
          <w:lang w:eastAsia="en-US"/>
        </w:rPr>
        <w:t>)</w:t>
      </w:r>
      <w:r w:rsidRPr="00812ACF">
        <w:rPr>
          <w:rFonts w:cs="FrankRuehl"/>
          <w:sz w:val="20"/>
          <w:szCs w:val="20"/>
          <w:lang w:eastAsia="en-US"/>
        </w:rPr>
        <w:t xml:space="preserve"> criminal procedure</w:t>
      </w:r>
    </w:p>
    <w:p w:rsidR="00812ACF" w:rsidRPr="00812ACF" w:rsidRDefault="00812ACF" w:rsidP="00812ACF">
      <w:pPr>
        <w:tabs>
          <w:tab w:val="decimal" w:pos="288"/>
          <w:tab w:val="left" w:pos="720"/>
          <w:tab w:val="left" w:pos="864"/>
        </w:tabs>
        <w:spacing w:after="80" w:line="260" w:lineRule="exact"/>
        <w:ind w:firstLine="283"/>
        <w:rPr>
          <w:rFonts w:cs="FrankRuehl"/>
          <w:sz w:val="20"/>
          <w:szCs w:val="20"/>
          <w:rtl/>
          <w:lang w:eastAsia="en-US"/>
        </w:rPr>
      </w:pP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הקובלנה הפרטית מוכרת גם באנגליה וברבות מארצות הקונטיננט, אך לא בארצות הברית. למעשה, אין בשיטות משפט אלה, אף לא בשיטתנו שלנו, זכות טהורה לגמרי, בלתי מסויגת, לקובלנה פרטית, אך היקפה וגבולותיה של זכות הקובלנה הפרטית והמגבלות המוטלות עליה שונים הם</w:t>
      </w:r>
      <w:r w:rsidRPr="00812ACF">
        <w:rPr>
          <w:rFonts w:cs="FrankRuehl"/>
          <w:sz w:val="20"/>
          <w:szCs w:val="20"/>
          <w:lang w:eastAsia="en-US"/>
        </w:rPr>
        <w:t xml:space="preserve"> </w:t>
      </w:r>
      <w:r w:rsidRPr="00812ACF">
        <w:rPr>
          <w:rFonts w:cs="FrankRuehl"/>
          <w:sz w:val="20"/>
          <w:szCs w:val="20"/>
          <w:rtl/>
          <w:lang w:eastAsia="en-US"/>
        </w:rPr>
        <w:t>משיטה לשיטה. ראה</w:t>
      </w:r>
      <w:r w:rsidRPr="00812ACF">
        <w:rPr>
          <w:rFonts w:cs="FrankRuehl"/>
          <w:sz w:val="20"/>
          <w:szCs w:val="20"/>
          <w:lang w:eastAsia="en-US"/>
        </w:rPr>
        <w:t xml:space="preserve">: ,j. </w:t>
      </w:r>
      <w:proofErr w:type="gramStart"/>
      <w:r w:rsidRPr="00812ACF">
        <w:rPr>
          <w:rFonts w:cs="FrankRuehl"/>
          <w:sz w:val="20"/>
          <w:szCs w:val="20"/>
          <w:lang w:eastAsia="en-US"/>
        </w:rPr>
        <w:t>Cardenas</w:t>
      </w:r>
      <w:r w:rsidRPr="00812ACF">
        <w:rPr>
          <w:rFonts w:cs="FrankRuehl"/>
          <w:sz w:val="20"/>
          <w:szCs w:val="20"/>
          <w:rtl/>
          <w:lang w:eastAsia="en-US"/>
        </w:rPr>
        <w:t xml:space="preserve"> </w:t>
      </w:r>
      <w:r w:rsidRPr="00812ACF">
        <w:rPr>
          <w:rFonts w:cs="FrankRuehl"/>
          <w:sz w:val="20"/>
          <w:szCs w:val="20"/>
          <w:lang w:eastAsia="en-US"/>
        </w:rPr>
        <w:t>.</w:t>
      </w:r>
      <w:proofErr w:type="gramEnd"/>
      <w:r w:rsidRPr="00812ACF">
        <w:rPr>
          <w:rFonts w:cs="FrankRuehl"/>
          <w:sz w:val="20"/>
          <w:szCs w:val="20"/>
          <w:lang w:eastAsia="en-US"/>
        </w:rPr>
        <w:t xml:space="preserve"> Pub</w:t>
      </w:r>
      <w:proofErr w:type="gramStart"/>
      <w:r w:rsidRPr="00812ACF">
        <w:rPr>
          <w:rFonts w:cs="FrankRuehl"/>
          <w:sz w:val="20"/>
          <w:szCs w:val="20"/>
          <w:lang w:eastAsia="en-US"/>
        </w:rPr>
        <w:t>&amp; .</w:t>
      </w:r>
      <w:proofErr w:type="gramEnd"/>
      <w:r w:rsidRPr="00812ACF">
        <w:rPr>
          <w:rFonts w:cs="FrankRuehl"/>
          <w:sz w:val="20"/>
          <w:szCs w:val="20"/>
          <w:lang w:eastAsia="en-US"/>
        </w:rPr>
        <w:t xml:space="preserve"> </w:t>
      </w:r>
      <w:proofErr w:type="spellStart"/>
      <w:proofErr w:type="gramStart"/>
      <w:r w:rsidRPr="00812ACF">
        <w:rPr>
          <w:rFonts w:cs="FrankRuehl"/>
          <w:sz w:val="20"/>
          <w:szCs w:val="20"/>
          <w:lang w:eastAsia="en-US"/>
        </w:rPr>
        <w:t>Harv</w:t>
      </w:r>
      <w:proofErr w:type="spellEnd"/>
      <w:r w:rsidRPr="00812ACF">
        <w:rPr>
          <w:rFonts w:cs="FrankRuehl"/>
          <w:sz w:val="20"/>
          <w:szCs w:val="20"/>
          <w:lang w:eastAsia="en-US"/>
        </w:rPr>
        <w:t>.</w:t>
      </w:r>
      <w:proofErr w:type="gramEnd"/>
      <w:r w:rsidRPr="00812ACF">
        <w:rPr>
          <w:rFonts w:cs="FrankRuehl"/>
          <w:sz w:val="20"/>
          <w:szCs w:val="20"/>
          <w:lang w:eastAsia="en-US"/>
        </w:rPr>
        <w:t xml:space="preserve"> J. L 9"the crime victim in the prosecution process"</w:t>
      </w:r>
      <w:r w:rsidRPr="00812ACF">
        <w:rPr>
          <w:rFonts w:cs="FrankRuehl"/>
          <w:sz w:val="20"/>
          <w:szCs w:val="20"/>
          <w:rtl/>
          <w:lang w:eastAsia="en-US"/>
        </w:rPr>
        <w:t xml:space="preserve"> </w:t>
      </w:r>
      <w:proofErr w:type="spellStart"/>
      <w:r w:rsidRPr="00812ACF">
        <w:rPr>
          <w:rFonts w:cs="FrankRuehl"/>
          <w:sz w:val="20"/>
          <w:szCs w:val="20"/>
          <w:lang w:eastAsia="en-US"/>
        </w:rPr>
        <w:t>Comparative</w:t>
      </w:r>
      <w:proofErr w:type="gramStart"/>
      <w:r w:rsidRPr="00812ACF">
        <w:rPr>
          <w:rFonts w:cs="FrankRuehl"/>
          <w:sz w:val="20"/>
          <w:szCs w:val="20"/>
          <w:lang w:eastAsia="en-US"/>
        </w:rPr>
        <w:t>:prosectution</w:t>
      </w:r>
      <w:proofErr w:type="spellEnd"/>
      <w:proofErr w:type="gramEnd"/>
      <w:r w:rsidRPr="00812ACF">
        <w:rPr>
          <w:rFonts w:cs="FrankRuehl"/>
          <w:sz w:val="20"/>
          <w:szCs w:val="20"/>
          <w:lang w:eastAsia="en-US"/>
        </w:rPr>
        <w:t>" , a. S. Goldstein;387- 385, 357</w:t>
      </w:r>
      <w:r w:rsidRPr="00812ACF">
        <w:rPr>
          <w:rFonts w:cs="FrankRuehl"/>
          <w:sz w:val="20"/>
          <w:szCs w:val="20"/>
          <w:rtl/>
          <w:lang w:eastAsia="en-US"/>
        </w:rPr>
        <w:t>(</w:t>
      </w:r>
      <w:r w:rsidRPr="00812ACF">
        <w:rPr>
          <w:rFonts w:cs="FrankRuehl"/>
          <w:sz w:val="20"/>
          <w:szCs w:val="20"/>
          <w:lang w:eastAsia="en-US"/>
        </w:rPr>
        <w:t>1986</w:t>
      </w:r>
      <w:r w:rsidRPr="00812ACF">
        <w:rPr>
          <w:rFonts w:cs="FrankRuehl"/>
          <w:sz w:val="20"/>
          <w:szCs w:val="20"/>
          <w:rtl/>
          <w:lang w:eastAsia="en-US"/>
        </w:rPr>
        <w:t xml:space="preserve">) </w:t>
      </w:r>
      <w:proofErr w:type="spellStart"/>
      <w:r w:rsidRPr="00812ACF">
        <w:rPr>
          <w:rFonts w:cs="FrankRuehl"/>
          <w:sz w:val="20"/>
          <w:szCs w:val="20"/>
          <w:lang w:eastAsia="en-US"/>
        </w:rPr>
        <w:t>pol'y</w:t>
      </w:r>
      <w:proofErr w:type="spellEnd"/>
      <w:r w:rsidRPr="00812ACF">
        <w:rPr>
          <w:rFonts w:cs="FrankRuehl"/>
          <w:sz w:val="20"/>
          <w:szCs w:val="20"/>
          <w:rtl/>
          <w:lang w:eastAsia="en-US"/>
        </w:rPr>
        <w:t>(</w:t>
      </w:r>
      <w:r w:rsidRPr="00812ACF">
        <w:rPr>
          <w:rFonts w:cs="FrankRuehl"/>
          <w:sz w:val="20"/>
          <w:szCs w:val="20"/>
          <w:lang w:eastAsia="en-US"/>
        </w:rPr>
        <w:t xml:space="preserve"> 1983,ed. By s. </w:t>
      </w:r>
      <w:proofErr w:type="spellStart"/>
      <w:r w:rsidRPr="00812ACF">
        <w:rPr>
          <w:rFonts w:cs="FrankRuehl"/>
          <w:sz w:val="20"/>
          <w:szCs w:val="20"/>
          <w:lang w:eastAsia="en-US"/>
        </w:rPr>
        <w:t>Kadish</w:t>
      </w:r>
      <w:proofErr w:type="spellEnd"/>
      <w:r w:rsidRPr="00812ACF">
        <w:rPr>
          <w:rFonts w:cs="FrankRuehl"/>
          <w:sz w:val="20"/>
          <w:szCs w:val="20"/>
          <w:rtl/>
          <w:lang w:eastAsia="en-US"/>
        </w:rPr>
        <w:t xml:space="preserve">) </w:t>
      </w:r>
      <w:r w:rsidRPr="00812ACF">
        <w:rPr>
          <w:rFonts w:cs="FrankRuehl"/>
          <w:sz w:val="20"/>
          <w:szCs w:val="20"/>
          <w:lang w:eastAsia="en-US"/>
        </w:rPr>
        <w:t xml:space="preserve">encyclopedia of crime and </w:t>
      </w:r>
      <w:proofErr w:type="spellStart"/>
      <w:r w:rsidRPr="00812ACF">
        <w:rPr>
          <w:rFonts w:cs="FrankRuehl"/>
          <w:sz w:val="20"/>
          <w:szCs w:val="20"/>
          <w:lang w:eastAsia="en-US"/>
        </w:rPr>
        <w:t>justice"the</w:t>
      </w:r>
      <w:proofErr w:type="spellEnd"/>
      <w:r w:rsidRPr="00812ACF">
        <w:rPr>
          <w:rFonts w:cs="FrankRuehl"/>
          <w:sz w:val="20"/>
          <w:szCs w:val="20"/>
          <w:lang w:eastAsia="en-US"/>
        </w:rPr>
        <w:t xml:space="preserve"> role of the victim in the prosecution aspects</w:t>
      </w:r>
      <w:proofErr w:type="gramStart"/>
      <w:r w:rsidRPr="00812ACF">
        <w:rPr>
          <w:rFonts w:cs="FrankRuehl"/>
          <w:sz w:val="20"/>
          <w:szCs w:val="20"/>
          <w:lang w:eastAsia="en-US"/>
        </w:rPr>
        <w:t>" ,</w:t>
      </w:r>
      <w:proofErr w:type="gramEnd"/>
      <w:r w:rsidRPr="00812ACF">
        <w:rPr>
          <w:rFonts w:cs="FrankRuehl"/>
          <w:sz w:val="20"/>
          <w:szCs w:val="20"/>
          <w:lang w:eastAsia="en-US"/>
        </w:rPr>
        <w:t xml:space="preserve"> </w:t>
      </w:r>
      <w:proofErr w:type="spellStart"/>
      <w:r w:rsidRPr="00812ACF">
        <w:rPr>
          <w:rFonts w:cs="FrankRuehl"/>
          <w:sz w:val="20"/>
          <w:szCs w:val="20"/>
          <w:lang w:eastAsia="en-US"/>
        </w:rPr>
        <w:t>d.j</w:t>
      </w:r>
      <w:proofErr w:type="spellEnd"/>
      <w:r w:rsidRPr="00812ACF">
        <w:rPr>
          <w:rFonts w:cs="FrankRuehl"/>
          <w:sz w:val="20"/>
          <w:szCs w:val="20"/>
          <w:lang w:eastAsia="en-US"/>
        </w:rPr>
        <w:t>. hall; 1304, 1296</w:t>
      </w:r>
      <w:r w:rsidRPr="00812ACF">
        <w:rPr>
          <w:rFonts w:cs="FrankRuehl"/>
          <w:sz w:val="20"/>
          <w:szCs w:val="20"/>
          <w:rtl/>
          <w:lang w:eastAsia="en-US"/>
        </w:rPr>
        <w:t xml:space="preserve"> </w:t>
      </w:r>
      <w:r w:rsidRPr="00812ACF">
        <w:rPr>
          <w:rFonts w:cs="FrankRuehl"/>
          <w:sz w:val="20"/>
          <w:szCs w:val="20"/>
          <w:lang w:eastAsia="en-US"/>
        </w:rPr>
        <w:t>.980- 979, 932</w:t>
      </w:r>
      <w:r w:rsidRPr="00812ACF">
        <w:rPr>
          <w:rFonts w:cs="FrankRuehl"/>
          <w:sz w:val="20"/>
          <w:szCs w:val="20"/>
          <w:rtl/>
          <w:lang w:eastAsia="en-US"/>
        </w:rPr>
        <w:t>(</w:t>
      </w:r>
      <w:r w:rsidRPr="00812ACF">
        <w:rPr>
          <w:rFonts w:cs="FrankRuehl"/>
          <w:sz w:val="20"/>
          <w:szCs w:val="20"/>
          <w:lang w:eastAsia="en-US"/>
        </w:rPr>
        <w:t>1975</w:t>
      </w:r>
      <w:r w:rsidRPr="00812ACF">
        <w:rPr>
          <w:rFonts w:cs="FrankRuehl"/>
          <w:sz w:val="20"/>
          <w:szCs w:val="20"/>
          <w:rtl/>
          <w:lang w:eastAsia="en-US"/>
        </w:rPr>
        <w:t>)</w:t>
      </w:r>
      <w:r w:rsidRPr="00812ACF">
        <w:rPr>
          <w:rFonts w:cs="FrankRuehl"/>
          <w:sz w:val="20"/>
          <w:szCs w:val="20"/>
          <w:lang w:eastAsia="en-US"/>
        </w:rPr>
        <w:t xml:space="preserve"> . </w:t>
      </w:r>
      <w:proofErr w:type="spellStart"/>
      <w:proofErr w:type="gramStart"/>
      <w:r w:rsidRPr="00812ACF">
        <w:rPr>
          <w:rFonts w:cs="FrankRuehl"/>
          <w:sz w:val="20"/>
          <w:szCs w:val="20"/>
          <w:lang w:eastAsia="en-US"/>
        </w:rPr>
        <w:t>Vand</w:t>
      </w:r>
      <w:proofErr w:type="spellEnd"/>
      <w:r w:rsidRPr="00812ACF">
        <w:rPr>
          <w:rFonts w:cs="FrankRuehl"/>
          <w:sz w:val="20"/>
          <w:szCs w:val="20"/>
          <w:lang w:eastAsia="en-US"/>
        </w:rPr>
        <w:t>.</w:t>
      </w:r>
      <w:proofErr w:type="gramEnd"/>
      <w:r w:rsidRPr="00812ACF">
        <w:rPr>
          <w:rFonts w:cs="FrankRuehl"/>
          <w:sz w:val="20"/>
          <w:szCs w:val="20"/>
          <w:lang w:eastAsia="en-US"/>
        </w:rPr>
        <w:t xml:space="preserve"> </w:t>
      </w:r>
      <w:proofErr w:type="gramStart"/>
      <w:r w:rsidRPr="00812ACF">
        <w:rPr>
          <w:rFonts w:cs="FrankRuehl"/>
          <w:sz w:val="20"/>
          <w:szCs w:val="20"/>
          <w:lang w:eastAsia="en-US"/>
        </w:rPr>
        <w:t>L. Rev 28"and disposition of a criminal case</w:t>
      </w:r>
      <w:r w:rsidRPr="00812ACF">
        <w:rPr>
          <w:rFonts w:cs="FrankRuehl"/>
          <w:sz w:val="20"/>
          <w:szCs w:val="20"/>
          <w:rtl/>
          <w:lang w:eastAsia="en-US"/>
        </w:rPr>
        <w:t xml:space="preserve"> בתקופה האחרונה, עם התפתחות הגישה בארצות הברית כי יש לתת לקורבן העבירה מעמד נכבד יותר בהליך הפלילי (ואף הבעת דברי כפירה בעיקרון שהפשיעה היא עניינה של החברה) ובהשראת התפישה הקונטיננטלית, מועלית ההצעה לאפשר גם שם את הקובלנה הפרטית, במתכונת זו או אחרת.</w:t>
      </w:r>
      <w:proofErr w:type="gramEnd"/>
    </w:p>
    <w:p w:rsidR="00812ACF" w:rsidRPr="00812ACF" w:rsidRDefault="00812ACF" w:rsidP="00812ACF">
      <w:pPr>
        <w:tabs>
          <w:tab w:val="decimal" w:pos="288"/>
          <w:tab w:val="left" w:pos="720"/>
          <w:tab w:val="left" w:pos="864"/>
        </w:tabs>
        <w:spacing w:after="80" w:line="260" w:lineRule="exact"/>
        <w:ind w:firstLine="283"/>
        <w:rPr>
          <w:rFonts w:cs="FrankRuehl"/>
          <w:sz w:val="20"/>
          <w:szCs w:val="20"/>
          <w:rtl/>
          <w:lang w:eastAsia="en-US"/>
        </w:rPr>
      </w:pPr>
      <w:r w:rsidRPr="00812ACF">
        <w:rPr>
          <w:rFonts w:cs="FrankRuehl"/>
          <w:sz w:val="20"/>
          <w:szCs w:val="20"/>
          <w:rtl/>
          <w:lang w:eastAsia="en-US"/>
        </w:rPr>
        <w:t xml:space="preserve"> ראה</w:t>
      </w:r>
      <w:r w:rsidRPr="00812ACF">
        <w:rPr>
          <w:rFonts w:cs="FrankRuehl"/>
          <w:sz w:val="20"/>
          <w:szCs w:val="20"/>
          <w:lang w:eastAsia="en-US"/>
        </w:rPr>
        <w:t xml:space="preserve"> " a new paradigm of criminal </w:t>
      </w:r>
      <w:proofErr w:type="spellStart"/>
      <w:r w:rsidRPr="00812ACF">
        <w:rPr>
          <w:rFonts w:cs="FrankRuehl"/>
          <w:sz w:val="20"/>
          <w:szCs w:val="20"/>
          <w:lang w:eastAsia="en-US"/>
        </w:rPr>
        <w:t>justice:restitution</w:t>
      </w:r>
      <w:proofErr w:type="spellEnd"/>
      <w:r w:rsidRPr="00812ACF">
        <w:rPr>
          <w:rFonts w:cs="FrankRuehl"/>
          <w:sz w:val="20"/>
          <w:szCs w:val="20"/>
          <w:lang w:eastAsia="en-US"/>
        </w:rPr>
        <w:t xml:space="preserve">" ,r. </w:t>
      </w:r>
      <w:proofErr w:type="gramStart"/>
      <w:r w:rsidRPr="00812ACF">
        <w:rPr>
          <w:rFonts w:cs="FrankRuehl"/>
          <w:sz w:val="20"/>
          <w:szCs w:val="20"/>
          <w:lang w:eastAsia="en-US"/>
        </w:rPr>
        <w:t>Barnett ,</w:t>
      </w:r>
      <w:proofErr w:type="gramEnd"/>
      <w:r w:rsidRPr="00812ACF">
        <w:rPr>
          <w:rFonts w:cs="FrankRuehl"/>
          <w:sz w:val="20"/>
          <w:szCs w:val="20"/>
          <w:lang w:eastAsia="en-US"/>
        </w:rPr>
        <w:t xml:space="preserve"> 349, 26, 1</w:t>
      </w:r>
      <w:r w:rsidRPr="00812ACF">
        <w:rPr>
          <w:rFonts w:cs="FrankRuehl"/>
          <w:sz w:val="20"/>
          <w:szCs w:val="20"/>
          <w:rtl/>
          <w:lang w:eastAsia="en-US"/>
        </w:rPr>
        <w:t>(</w:t>
      </w:r>
      <w:r w:rsidRPr="00812ACF">
        <w:rPr>
          <w:rFonts w:cs="FrankRuehl"/>
          <w:sz w:val="20"/>
          <w:szCs w:val="20"/>
          <w:lang w:eastAsia="en-US"/>
        </w:rPr>
        <w:t xml:space="preserve"> 1977,ed. By r. Barnett and j. </w:t>
      </w:r>
      <w:proofErr w:type="spellStart"/>
      <w:r w:rsidRPr="00812ACF">
        <w:rPr>
          <w:rFonts w:cs="FrankRuehl"/>
          <w:sz w:val="20"/>
          <w:szCs w:val="20"/>
          <w:lang w:eastAsia="en-US"/>
        </w:rPr>
        <w:t>Hagel</w:t>
      </w:r>
      <w:proofErr w:type="spellEnd"/>
      <w:r w:rsidRPr="00812ACF">
        <w:rPr>
          <w:rFonts w:cs="FrankRuehl"/>
          <w:sz w:val="20"/>
          <w:szCs w:val="20"/>
          <w:rtl/>
          <w:lang w:eastAsia="en-US"/>
        </w:rPr>
        <w:t>)</w:t>
      </w:r>
      <w:r w:rsidRPr="00812ACF">
        <w:rPr>
          <w:rFonts w:cs="FrankRuehl"/>
          <w:sz w:val="20"/>
          <w:szCs w:val="20"/>
          <w:lang w:eastAsia="en-US"/>
        </w:rPr>
        <w:t xml:space="preserve"> assessing the criminal</w:t>
      </w:r>
      <w:r w:rsidRPr="00812ACF">
        <w:rPr>
          <w:rFonts w:cs="FrankRuehl"/>
          <w:sz w:val="20"/>
          <w:szCs w:val="20"/>
          <w:rtl/>
          <w:lang w:eastAsia="en-US"/>
        </w:rPr>
        <w:t xml:space="preserve"> </w:t>
      </w:r>
      <w:r w:rsidRPr="00812ACF">
        <w:rPr>
          <w:rFonts w:cs="FrankRuehl"/>
          <w:sz w:val="20"/>
          <w:szCs w:val="20"/>
          <w:lang w:eastAsia="en-US"/>
        </w:rPr>
        <w:t>363</w:t>
      </w:r>
      <w:r w:rsidRPr="00812ACF">
        <w:rPr>
          <w:rFonts w:cs="FrankRuehl"/>
          <w:sz w:val="20"/>
          <w:szCs w:val="20"/>
          <w:rtl/>
          <w:lang w:eastAsia="en-US"/>
        </w:rPr>
        <w:t>והשווה</w:t>
      </w:r>
      <w:r w:rsidRPr="00812ACF">
        <w:rPr>
          <w:rFonts w:cs="FrankRuehl"/>
          <w:sz w:val="20"/>
          <w:szCs w:val="20"/>
          <w:lang w:eastAsia="en-US"/>
        </w:rPr>
        <w:t>: defining</w:t>
      </w:r>
      <w:proofErr w:type="gramStart"/>
      <w:r w:rsidRPr="00812ACF">
        <w:rPr>
          <w:rFonts w:cs="FrankRuehl"/>
          <w:sz w:val="20"/>
          <w:szCs w:val="20"/>
          <w:lang w:eastAsia="en-US"/>
        </w:rPr>
        <w:t>" ,</w:t>
      </w:r>
      <w:proofErr w:type="gramEnd"/>
      <w:r w:rsidRPr="00812ACF">
        <w:rPr>
          <w:rFonts w:cs="FrankRuehl"/>
          <w:sz w:val="20"/>
          <w:szCs w:val="20"/>
          <w:lang w:eastAsia="en-US"/>
        </w:rPr>
        <w:t xml:space="preserve"> </w:t>
      </w:r>
      <w:proofErr w:type="spellStart"/>
      <w:r w:rsidRPr="00812ACF">
        <w:rPr>
          <w:rFonts w:cs="FrankRuehl"/>
          <w:sz w:val="20"/>
          <w:szCs w:val="20"/>
          <w:lang w:eastAsia="en-US"/>
        </w:rPr>
        <w:t>a.s</w:t>
      </w:r>
      <w:proofErr w:type="spellEnd"/>
      <w:r w:rsidRPr="00812ACF">
        <w:rPr>
          <w:rFonts w:cs="FrankRuehl"/>
          <w:sz w:val="20"/>
          <w:szCs w:val="20"/>
          <w:lang w:eastAsia="en-US"/>
        </w:rPr>
        <w:t>. goldstein;392- 391, 357cardenas, supra, at</w:t>
      </w:r>
      <w:r w:rsidRPr="00812ACF">
        <w:rPr>
          <w:rFonts w:cs="FrankRuehl"/>
          <w:sz w:val="20"/>
          <w:szCs w:val="20"/>
          <w:rtl/>
          <w:lang w:eastAsia="en-US"/>
        </w:rPr>
        <w:t xml:space="preserve"> </w:t>
      </w:r>
      <w:r w:rsidRPr="00812ACF">
        <w:rPr>
          <w:rFonts w:cs="FrankRuehl"/>
          <w:sz w:val="20"/>
          <w:szCs w:val="20"/>
          <w:lang w:eastAsia="en-US"/>
        </w:rPr>
        <w:t xml:space="preserve">. Miss 52"the role of the victim in criminal </w:t>
      </w:r>
      <w:proofErr w:type="gramStart"/>
      <w:r w:rsidRPr="00812ACF">
        <w:rPr>
          <w:rFonts w:cs="FrankRuehl"/>
          <w:sz w:val="20"/>
          <w:szCs w:val="20"/>
          <w:lang w:eastAsia="en-US"/>
        </w:rPr>
        <w:t>prosecution</w:t>
      </w:r>
      <w:r w:rsidRPr="00812ACF">
        <w:rPr>
          <w:rFonts w:cs="FrankRuehl"/>
          <w:sz w:val="20"/>
          <w:szCs w:val="20"/>
          <w:rtl/>
          <w:lang w:eastAsia="en-US"/>
        </w:rPr>
        <w:t xml:space="preserve"> </w:t>
      </w:r>
      <w:r w:rsidRPr="00812ACF">
        <w:rPr>
          <w:rFonts w:cs="FrankRuehl"/>
          <w:sz w:val="20"/>
          <w:szCs w:val="20"/>
          <w:lang w:eastAsia="en-US"/>
        </w:rPr>
        <w:t>.</w:t>
      </w:r>
      <w:proofErr w:type="gramEnd"/>
      <w:r w:rsidRPr="00812ACF">
        <w:rPr>
          <w:rFonts w:cs="FrankRuehl"/>
          <w:sz w:val="20"/>
          <w:szCs w:val="20"/>
          <w:lang w:eastAsia="en-US"/>
        </w:rPr>
        <w:t xml:space="preserve"> 560, 554, 515</w:t>
      </w:r>
      <w:r w:rsidRPr="00812ACF">
        <w:rPr>
          <w:rFonts w:cs="FrankRuehl"/>
          <w:sz w:val="20"/>
          <w:szCs w:val="20"/>
          <w:rtl/>
          <w:lang w:eastAsia="en-US"/>
        </w:rPr>
        <w:t>(</w:t>
      </w:r>
      <w:r w:rsidRPr="00812ACF">
        <w:rPr>
          <w:rFonts w:cs="FrankRuehl"/>
          <w:sz w:val="20"/>
          <w:szCs w:val="20"/>
          <w:lang w:eastAsia="en-US"/>
        </w:rPr>
        <w:t>1982</w:t>
      </w:r>
      <w:proofErr w:type="gramStart"/>
      <w:r w:rsidRPr="00812ACF">
        <w:rPr>
          <w:rFonts w:cs="FrankRuehl"/>
          <w:sz w:val="20"/>
          <w:szCs w:val="20"/>
          <w:rtl/>
          <w:lang w:eastAsia="en-US"/>
        </w:rPr>
        <w:t>)</w:t>
      </w:r>
      <w:r w:rsidRPr="00812ACF">
        <w:rPr>
          <w:rFonts w:cs="FrankRuehl"/>
          <w:sz w:val="20"/>
          <w:szCs w:val="20"/>
          <w:lang w:eastAsia="en-US"/>
        </w:rPr>
        <w:t xml:space="preserve"> .</w:t>
      </w:r>
      <w:proofErr w:type="gramEnd"/>
      <w:r w:rsidRPr="00812ACF">
        <w:rPr>
          <w:rFonts w:cs="FrankRuehl"/>
          <w:sz w:val="20"/>
          <w:szCs w:val="20"/>
          <w:lang w:eastAsia="en-US"/>
        </w:rPr>
        <w:t xml:space="preserve"> </w:t>
      </w:r>
      <w:proofErr w:type="gramStart"/>
      <w:r w:rsidRPr="00812ACF">
        <w:rPr>
          <w:rFonts w:cs="FrankRuehl"/>
          <w:sz w:val="20"/>
          <w:szCs w:val="20"/>
          <w:lang w:eastAsia="en-US"/>
        </w:rPr>
        <w:t>.</w:t>
      </w:r>
      <w:proofErr w:type="spellStart"/>
      <w:r w:rsidRPr="00812ACF">
        <w:rPr>
          <w:rFonts w:cs="FrankRuehl"/>
          <w:sz w:val="20"/>
          <w:szCs w:val="20"/>
          <w:lang w:eastAsia="en-US"/>
        </w:rPr>
        <w:t>l.j</w:t>
      </w:r>
      <w:proofErr w:type="spellEnd"/>
      <w:r w:rsidRPr="00812ACF">
        <w:rPr>
          <w:rFonts w:cs="FrankRuehl"/>
          <w:sz w:val="20"/>
          <w:szCs w:val="20"/>
          <w:rtl/>
          <w:lang w:eastAsia="en-US"/>
        </w:rPr>
        <w:t>שם סוקר המחבר המלומד את המצב בארצות הברית, על</w:t>
      </w:r>
      <w:r w:rsidRPr="00812ACF">
        <w:rPr>
          <w:rFonts w:cs="FrankRuehl"/>
          <w:sz w:val="20"/>
          <w:szCs w:val="20"/>
          <w:lang w:eastAsia="en-US"/>
        </w:rPr>
        <w:t xml:space="preserve"> </w:t>
      </w:r>
      <w:r w:rsidRPr="00812ACF">
        <w:rPr>
          <w:rFonts w:cs="FrankRuehl"/>
          <w:sz w:val="20"/>
          <w:szCs w:val="20"/>
          <w:rtl/>
          <w:lang w:eastAsia="en-US"/>
        </w:rPr>
        <w:t>ההיסטוריה החקיקתית שלה בסוגיה זו, לעומת זו שבאנגליה.</w:t>
      </w:r>
      <w:proofErr w:type="gramEnd"/>
      <w:r w:rsidRPr="00812ACF">
        <w:rPr>
          <w:rFonts w:cs="FrankRuehl"/>
          <w:sz w:val="20"/>
          <w:szCs w:val="20"/>
          <w:rtl/>
          <w:lang w:eastAsia="en-US"/>
        </w:rPr>
        <w:t xml:space="preserve"> הגישה ששררה במושבות ארצות הברית, בהשפעת המשפט המקובל האנגלי באותה עת, כי הפשע הוא עניין שבין העבריין לקורבן ולא לחברה, עברה בארצות הברית שינוי יסודי, ועד למהפכה האמריקנית בא קץ למעמדו של קורבן העבירה בהליך הפלילי. הקובלנה הפרטית</w:t>
      </w:r>
      <w:r w:rsidRPr="00812ACF">
        <w:rPr>
          <w:rFonts w:cs="FrankRuehl"/>
          <w:sz w:val="20"/>
          <w:szCs w:val="20"/>
          <w:lang w:eastAsia="en-US"/>
        </w:rPr>
        <w:t xml:space="preserve"> </w:t>
      </w:r>
      <w:r w:rsidRPr="00812ACF">
        <w:rPr>
          <w:rFonts w:cs="FrankRuehl"/>
          <w:sz w:val="20"/>
          <w:szCs w:val="20"/>
          <w:rtl/>
          <w:lang w:eastAsia="en-US"/>
        </w:rPr>
        <w:t>אינה מוכרת שם עד היום, אם כי במדינות רבות מותרת הצטרפותו של עורך</w:t>
      </w:r>
      <w:r w:rsidRPr="00812ACF">
        <w:rPr>
          <w:rFonts w:cs="FrankRuehl"/>
          <w:sz w:val="20"/>
          <w:szCs w:val="20"/>
          <w:lang w:eastAsia="en-US"/>
        </w:rPr>
        <w:t xml:space="preserve"> </w:t>
      </w:r>
      <w:r w:rsidRPr="00812ACF">
        <w:rPr>
          <w:rFonts w:cs="FrankRuehl"/>
          <w:sz w:val="20"/>
          <w:szCs w:val="20"/>
          <w:rtl/>
          <w:lang w:eastAsia="en-US"/>
        </w:rPr>
        <w:t>הדין של הקורבן ליד התובע הממשלתי. בכמה מדינות מותנה הדבר בהסכמת התביעה. על נוהג זה נמתחה שם ביקורת בשל מצב של ניגוד אינטרסים ובעיות של אתיקה (ראה</w:t>
      </w:r>
      <w:r w:rsidRPr="00812ACF">
        <w:rPr>
          <w:rFonts w:cs="FrankRuehl"/>
          <w:sz w:val="20"/>
          <w:szCs w:val="20"/>
          <w:lang w:eastAsia="en-US"/>
        </w:rPr>
        <w:t xml:space="preserve"> ,encyclopedia of criminal justice, supra</w:t>
      </w:r>
      <w:r w:rsidRPr="00812ACF">
        <w:rPr>
          <w:rFonts w:cs="FrankRuehl"/>
          <w:sz w:val="20"/>
          <w:szCs w:val="20"/>
          <w:rtl/>
          <w:lang w:eastAsia="en-US"/>
        </w:rPr>
        <w:t>)</w:t>
      </w:r>
      <w:r w:rsidRPr="00812ACF">
        <w:rPr>
          <w:rFonts w:cs="FrankRuehl"/>
          <w:sz w:val="20"/>
          <w:szCs w:val="20"/>
          <w:lang w:eastAsia="en-US"/>
        </w:rPr>
        <w:t xml:space="preserve"> ,</w:t>
      </w:r>
      <w:proofErr w:type="spellStart"/>
      <w:r w:rsidRPr="00812ACF">
        <w:rPr>
          <w:rFonts w:cs="FrankRuehl"/>
          <w:sz w:val="20"/>
          <w:szCs w:val="20"/>
          <w:lang w:eastAsia="en-US"/>
        </w:rPr>
        <w:t>goldstein</w:t>
      </w:r>
      <w:proofErr w:type="spellEnd"/>
      <w:r w:rsidRPr="00812ACF">
        <w:rPr>
          <w:rFonts w:cs="FrankRuehl"/>
          <w:sz w:val="20"/>
          <w:szCs w:val="20"/>
          <w:rtl/>
          <w:lang w:eastAsia="en-US"/>
        </w:rPr>
        <w:t xml:space="preserve"> </w:t>
      </w:r>
      <w:r w:rsidRPr="00812ACF">
        <w:rPr>
          <w:rFonts w:cs="FrankRuehl"/>
          <w:sz w:val="20"/>
          <w:szCs w:val="20"/>
          <w:lang w:eastAsia="en-US"/>
        </w:rPr>
        <w:t xml:space="preserve">. </w:t>
      </w:r>
      <w:proofErr w:type="gramStart"/>
      <w:r w:rsidRPr="00812ACF">
        <w:rPr>
          <w:rFonts w:cs="FrankRuehl"/>
          <w:sz w:val="20"/>
          <w:szCs w:val="20"/>
          <w:lang w:eastAsia="en-US"/>
        </w:rPr>
        <w:t xml:space="preserve">1289at </w:t>
      </w:r>
      <w:r w:rsidRPr="00812ACF">
        <w:rPr>
          <w:rFonts w:cs="FrankRuehl"/>
          <w:sz w:val="20"/>
          <w:szCs w:val="20"/>
          <w:rtl/>
          <w:lang w:eastAsia="en-US"/>
        </w:rPr>
        <w:t xml:space="preserve">באנגליה, לעומת זאת, עד למאה ה- </w:t>
      </w:r>
      <w:r w:rsidRPr="00812ACF">
        <w:rPr>
          <w:rFonts w:cs="FrankRuehl"/>
          <w:sz w:val="20"/>
          <w:szCs w:val="20"/>
          <w:lang w:eastAsia="en-US"/>
        </w:rPr>
        <w:t>19</w:t>
      </w:r>
      <w:r w:rsidRPr="00812ACF">
        <w:rPr>
          <w:rFonts w:cs="FrankRuehl"/>
          <w:sz w:val="20"/>
          <w:szCs w:val="20"/>
          <w:rtl/>
          <w:lang w:eastAsia="en-US"/>
        </w:rPr>
        <w:t>לא הייתה שלטת התפישה, שפקידי ציבור</w:t>
      </w:r>
      <w:r w:rsidRPr="00812ACF">
        <w:rPr>
          <w:rFonts w:cs="FrankRuehl"/>
          <w:sz w:val="20"/>
          <w:szCs w:val="20"/>
          <w:lang w:eastAsia="en-US"/>
        </w:rPr>
        <w:t xml:space="preserve"> </w:t>
      </w:r>
      <w:r w:rsidRPr="00812ACF">
        <w:rPr>
          <w:rFonts w:cs="FrankRuehl"/>
          <w:sz w:val="20"/>
          <w:szCs w:val="20"/>
          <w:rtl/>
          <w:lang w:eastAsia="en-US"/>
        </w:rPr>
        <w:t>מוסמכים לחקור ולתבוע בפלילים כנציגי המלך.</w:t>
      </w:r>
      <w:proofErr w:type="gramEnd"/>
      <w:r w:rsidRPr="00812ACF">
        <w:rPr>
          <w:rFonts w:cs="FrankRuehl"/>
          <w:sz w:val="20"/>
          <w:szCs w:val="20"/>
          <w:rtl/>
          <w:lang w:eastAsia="en-US"/>
        </w:rPr>
        <w:t xml:space="preserve"> כל אדם היה רשאי, ביוזמתו, ומבלי צורך בהסכמה מראש, לפתוח בהליכים פליליים. בהשפעת השקפותיהם של </w:t>
      </w:r>
      <w:proofErr w:type="spellStart"/>
      <w:r w:rsidRPr="00812ACF">
        <w:rPr>
          <w:rFonts w:cs="FrankRuehl"/>
          <w:sz w:val="20"/>
          <w:szCs w:val="20"/>
          <w:rtl/>
          <w:lang w:eastAsia="en-US"/>
        </w:rPr>
        <w:t>רפורמטורים</w:t>
      </w:r>
      <w:proofErr w:type="spellEnd"/>
      <w:r w:rsidRPr="00812ACF">
        <w:rPr>
          <w:rFonts w:cs="FrankRuehl"/>
          <w:sz w:val="20"/>
          <w:szCs w:val="20"/>
          <w:rtl/>
          <w:lang w:eastAsia="en-US"/>
        </w:rPr>
        <w:t xml:space="preserve"> </w:t>
      </w:r>
      <w:proofErr w:type="spellStart"/>
      <w:r w:rsidRPr="00812ACF">
        <w:rPr>
          <w:rFonts w:cs="FrankRuehl"/>
          <w:sz w:val="20"/>
          <w:szCs w:val="20"/>
          <w:rtl/>
          <w:lang w:eastAsia="en-US"/>
        </w:rPr>
        <w:t>כבנתם</w:t>
      </w:r>
      <w:proofErr w:type="spellEnd"/>
      <w:r w:rsidRPr="00812ACF">
        <w:rPr>
          <w:rFonts w:cs="FrankRuehl"/>
          <w:sz w:val="20"/>
          <w:szCs w:val="20"/>
          <w:rtl/>
          <w:lang w:eastAsia="en-US"/>
        </w:rPr>
        <w:t xml:space="preserve"> ורוברט פיל, שהתריעו על רעותיה של השיטה הקיימת, הוקם מוסד הממונה על התביעה הכללית (.</w:t>
      </w:r>
      <w:proofErr w:type="spellStart"/>
      <w:r w:rsidRPr="00812ACF">
        <w:rPr>
          <w:rFonts w:cs="FrankRuehl"/>
          <w:sz w:val="20"/>
          <w:szCs w:val="20"/>
          <w:lang w:eastAsia="en-US"/>
        </w:rPr>
        <w:t>d.p.p</w:t>
      </w:r>
      <w:proofErr w:type="spellEnd"/>
      <w:r w:rsidRPr="00812ACF">
        <w:rPr>
          <w:rFonts w:cs="FrankRuehl"/>
          <w:sz w:val="20"/>
          <w:szCs w:val="20"/>
          <w:rtl/>
          <w:lang w:eastAsia="en-US"/>
        </w:rPr>
        <w:t xml:space="preserve">) ב- </w:t>
      </w:r>
      <w:r w:rsidRPr="00812ACF">
        <w:rPr>
          <w:rFonts w:cs="FrankRuehl"/>
          <w:sz w:val="20"/>
          <w:szCs w:val="20"/>
          <w:lang w:eastAsia="en-US"/>
        </w:rPr>
        <w:t>1879offences act, prosecution of</w:t>
      </w:r>
      <w:r w:rsidRPr="00812ACF">
        <w:rPr>
          <w:rFonts w:cs="FrankRuehl"/>
          <w:sz w:val="20"/>
          <w:szCs w:val="20"/>
          <w:rtl/>
          <w:lang w:eastAsia="en-US"/>
        </w:rPr>
        <w:t xml:space="preserve">עם סמכויות מוגבלות אמנם, ופותחו תפקידי המשטרה בנושאי החקירה והתביעה. בחקיקה צומצמה זכות הקובלנה הפרטית באופן משמעותי ב- </w:t>
      </w:r>
      <w:r w:rsidRPr="00812ACF">
        <w:rPr>
          <w:rFonts w:cs="FrankRuehl"/>
          <w:sz w:val="20"/>
          <w:szCs w:val="20"/>
          <w:lang w:eastAsia="en-US"/>
        </w:rPr>
        <w:t>1908</w:t>
      </w:r>
      <w:r w:rsidRPr="00812ACF">
        <w:rPr>
          <w:rFonts w:cs="FrankRuehl"/>
          <w:sz w:val="20"/>
          <w:szCs w:val="20"/>
          <w:rtl/>
          <w:lang w:eastAsia="en-US"/>
        </w:rPr>
        <w:t>, והיא הותנתה, לגבי שורה ארוכה של עבירות, בהסכמת הממונה. הממונה גם הוסמך להתערב בכל הליך פלילי, כך שבכוחו ליטול לעצמו את ניהול הקובלנה ואם ימצא לנכון, להפסיקה (</w:t>
      </w:r>
      <w:proofErr w:type="spellStart"/>
      <w:r w:rsidRPr="00812ACF">
        <w:rPr>
          <w:rFonts w:cs="FrankRuehl"/>
          <w:sz w:val="20"/>
          <w:szCs w:val="20"/>
          <w:lang w:eastAsia="en-US"/>
        </w:rPr>
        <w:t>nolle</w:t>
      </w:r>
      <w:proofErr w:type="spellEnd"/>
      <w:r w:rsidRPr="00812ACF">
        <w:rPr>
          <w:rFonts w:cs="FrankRuehl"/>
          <w:sz w:val="20"/>
          <w:szCs w:val="20"/>
          <w:lang w:eastAsia="en-US"/>
        </w:rPr>
        <w:t xml:space="preserve"> </w:t>
      </w:r>
      <w:proofErr w:type="spellStart"/>
      <w:r w:rsidRPr="00812ACF">
        <w:rPr>
          <w:rFonts w:cs="FrankRuehl"/>
          <w:sz w:val="20"/>
          <w:szCs w:val="20"/>
          <w:lang w:eastAsia="en-US"/>
        </w:rPr>
        <w:t>prosequi</w:t>
      </w:r>
      <w:proofErr w:type="spellEnd"/>
      <w:r w:rsidRPr="00812ACF">
        <w:rPr>
          <w:rFonts w:cs="FrankRuehl"/>
          <w:sz w:val="20"/>
          <w:szCs w:val="20"/>
          <w:rtl/>
          <w:lang w:eastAsia="en-US"/>
        </w:rPr>
        <w:t xml:space="preserve">). ראה גם סקירתה של </w:t>
      </w:r>
      <w:proofErr w:type="spellStart"/>
      <w:r w:rsidRPr="00812ACF">
        <w:rPr>
          <w:rFonts w:cs="FrankRuehl"/>
          <w:sz w:val="20"/>
          <w:szCs w:val="20"/>
          <w:rtl/>
          <w:lang w:eastAsia="en-US"/>
        </w:rPr>
        <w:t>פרופ</w:t>
      </w:r>
      <w:proofErr w:type="spellEnd"/>
      <w:r w:rsidRPr="00812ACF">
        <w:rPr>
          <w:rFonts w:cs="FrankRuehl"/>
          <w:sz w:val="20"/>
          <w:szCs w:val="20"/>
          <w:rtl/>
          <w:lang w:eastAsia="en-US"/>
        </w:rPr>
        <w:t xml:space="preserve">' ר' גביזון בספרה שיקול דעת מינהלי באכיפת החוק: הסמכות לעכב הליכים פליליים ולחדשם (המכון למחקרי חקיקה ולמשפט השוואתי ע"ש הרי ומיכאל </w:t>
      </w:r>
      <w:proofErr w:type="spellStart"/>
      <w:r w:rsidRPr="00812ACF">
        <w:rPr>
          <w:rFonts w:cs="FrankRuehl"/>
          <w:sz w:val="20"/>
          <w:szCs w:val="20"/>
          <w:rtl/>
          <w:lang w:eastAsia="en-US"/>
        </w:rPr>
        <w:t>סאקר</w:t>
      </w:r>
      <w:proofErr w:type="spellEnd"/>
      <w:r w:rsidRPr="00812ACF">
        <w:rPr>
          <w:rFonts w:cs="FrankRuehl"/>
          <w:sz w:val="20"/>
          <w:szCs w:val="20"/>
          <w:rtl/>
          <w:lang w:eastAsia="en-US"/>
        </w:rPr>
        <w:t xml:space="preserve">, תשנ"א) </w:t>
      </w:r>
      <w:r w:rsidRPr="00812ACF">
        <w:rPr>
          <w:rFonts w:cs="FrankRuehl"/>
          <w:sz w:val="20"/>
          <w:szCs w:val="20"/>
          <w:lang w:eastAsia="en-US"/>
        </w:rPr>
        <w:t>.85</w:t>
      </w:r>
    </w:p>
    <w:p w:rsidR="00812ACF" w:rsidRPr="00812ACF" w:rsidRDefault="00812ACF" w:rsidP="00812ACF">
      <w:pPr>
        <w:tabs>
          <w:tab w:val="left" w:pos="288"/>
          <w:tab w:val="left" w:pos="432"/>
          <w:tab w:val="left" w:pos="576"/>
          <w:tab w:val="left" w:pos="720"/>
          <w:tab w:val="left" w:pos="864"/>
          <w:tab w:val="left" w:pos="1296"/>
          <w:tab w:val="left" w:pos="1440"/>
          <w:tab w:val="left" w:pos="1584"/>
          <w:tab w:val="left" w:pos="1728"/>
          <w:tab w:val="left" w:pos="1872"/>
          <w:tab w:val="left" w:pos="2016"/>
          <w:tab w:val="left" w:pos="2160"/>
          <w:tab w:val="left" w:pos="2304"/>
          <w:tab w:val="left" w:pos="2448"/>
        </w:tabs>
        <w:spacing w:after="80" w:line="260" w:lineRule="exact"/>
        <w:ind w:firstLine="283"/>
        <w:rPr>
          <w:rFonts w:cs="FrankRuehl"/>
          <w:sz w:val="20"/>
          <w:szCs w:val="20"/>
          <w:lang w:eastAsia="en-US"/>
        </w:rPr>
      </w:pPr>
      <w:r w:rsidRPr="00812ACF">
        <w:rPr>
          <w:rFonts w:cs="FrankRuehl"/>
          <w:sz w:val="20"/>
          <w:szCs w:val="20"/>
          <w:rtl/>
          <w:lang w:eastAsia="en-US"/>
        </w:rPr>
        <w:t xml:space="preserve"> סמכויותיו של הממונה מוגדרות היום ב- </w:t>
      </w:r>
      <w:r w:rsidRPr="00812ACF">
        <w:rPr>
          <w:rFonts w:cs="FrankRuehl"/>
          <w:sz w:val="20"/>
          <w:szCs w:val="20"/>
          <w:lang w:eastAsia="en-US"/>
        </w:rPr>
        <w:t>1985, ,prosecution of offences act</w:t>
      </w:r>
      <w:r w:rsidRPr="00812ACF">
        <w:rPr>
          <w:rFonts w:cs="FrankRuehl"/>
          <w:sz w:val="20"/>
          <w:szCs w:val="20"/>
          <w:rtl/>
          <w:lang w:eastAsia="en-US"/>
        </w:rPr>
        <w:t xml:space="preserve">המשאיר (בסעיף 6) את הקובלנה הפרטית ללא שינוי. מעניין לציין עם זאת, כי סעיף </w:t>
      </w:r>
      <w:r w:rsidRPr="00812ACF">
        <w:rPr>
          <w:rFonts w:cs="FrankRuehl"/>
          <w:sz w:val="20"/>
          <w:szCs w:val="20"/>
          <w:lang w:eastAsia="en-US"/>
        </w:rPr>
        <w:t>24</w:t>
      </w:r>
      <w:r w:rsidRPr="00812ACF">
        <w:rPr>
          <w:rFonts w:cs="FrankRuehl"/>
          <w:sz w:val="20"/>
          <w:szCs w:val="20"/>
          <w:rtl/>
          <w:lang w:eastAsia="en-US"/>
        </w:rPr>
        <w:t>לחוק הנ"ל מרחיב</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על ההליך הפלילי את הסמכות הנתונה לבית המשפט להטיל מגבלות על תביעה אזרחית</w:t>
      </w:r>
      <w:r w:rsidRPr="00812ACF">
        <w:rPr>
          <w:rFonts w:cs="FrankRuehl"/>
          <w:sz w:val="20"/>
          <w:szCs w:val="20"/>
          <w:lang w:eastAsia="en-US"/>
        </w:rPr>
        <w:t xml:space="preserve"> </w:t>
      </w:r>
      <w:r w:rsidRPr="00812ACF">
        <w:rPr>
          <w:rFonts w:cs="FrankRuehl"/>
          <w:sz w:val="20"/>
          <w:szCs w:val="20"/>
          <w:rtl/>
          <w:lang w:eastAsia="en-US"/>
        </w:rPr>
        <w:t>טורדנית. אין ספק, שהדבר מכוון לקובלנה הפרטית, שכן לא נראה שיש לייחס הליך טורדני לתביעה הכללית</w:t>
      </w:r>
      <w:r w:rsidRPr="00812ACF">
        <w:rPr>
          <w:rFonts w:cs="FrankRuehl"/>
          <w:sz w:val="20"/>
          <w:szCs w:val="20"/>
          <w:lang w:eastAsia="en-US"/>
        </w:rPr>
        <w:t>.</w:t>
      </w:r>
    </w:p>
    <w:p w:rsidR="00812ACF" w:rsidRPr="00812ACF" w:rsidRDefault="00812ACF" w:rsidP="00812ACF">
      <w:pPr>
        <w:tabs>
          <w:tab w:val="left" w:pos="288"/>
          <w:tab w:val="left" w:pos="432"/>
          <w:tab w:val="left" w:pos="576"/>
          <w:tab w:val="left" w:pos="720"/>
          <w:tab w:val="left" w:pos="864"/>
          <w:tab w:val="left" w:pos="1296"/>
          <w:tab w:val="left" w:pos="1440"/>
          <w:tab w:val="left" w:pos="1584"/>
          <w:tab w:val="left" w:pos="1728"/>
          <w:tab w:val="left" w:pos="1872"/>
          <w:tab w:val="left" w:pos="2016"/>
          <w:tab w:val="left" w:pos="2160"/>
          <w:tab w:val="left" w:pos="2304"/>
          <w:tab w:val="left" w:pos="2448"/>
        </w:tabs>
        <w:spacing w:after="80" w:line="260" w:lineRule="exact"/>
        <w:ind w:firstLine="283"/>
        <w:rPr>
          <w:rFonts w:cs="FrankRuehl"/>
          <w:sz w:val="20"/>
          <w:szCs w:val="20"/>
          <w:lang w:eastAsia="en-US"/>
        </w:rPr>
      </w:pPr>
      <w:r w:rsidRPr="00812ACF">
        <w:rPr>
          <w:rFonts w:cs="FrankRuehl"/>
          <w:sz w:val="20"/>
          <w:szCs w:val="20"/>
          <w:rtl/>
          <w:lang w:eastAsia="en-US"/>
        </w:rPr>
        <w:t xml:space="preserve"> המלצת הוועדה המלכותית לפרוצדורה פלילית בראשותו של פיליפס מ</w:t>
      </w:r>
      <w:r w:rsidRPr="00812ACF">
        <w:rPr>
          <w:rFonts w:cs="FrankRuehl"/>
          <w:sz w:val="20"/>
          <w:szCs w:val="20"/>
          <w:lang w:eastAsia="en-US"/>
        </w:rPr>
        <w:t xml:space="preserve"> -</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w:t>
      </w:r>
      <w:r w:rsidRPr="00812ACF">
        <w:rPr>
          <w:rFonts w:cs="FrankRuehl"/>
          <w:sz w:val="20"/>
          <w:szCs w:val="20"/>
          <w:lang w:eastAsia="en-US"/>
        </w:rPr>
        <w:t xml:space="preserve">. </w:t>
      </w:r>
      <w:proofErr w:type="gramStart"/>
      <w:r w:rsidRPr="00812ACF">
        <w:rPr>
          <w:rFonts w:cs="FrankRuehl"/>
          <w:sz w:val="20"/>
          <w:szCs w:val="20"/>
          <w:lang w:eastAsia="en-US"/>
        </w:rPr>
        <w:t>1981cmnd</w:t>
      </w:r>
      <w:r w:rsidRPr="00812ACF">
        <w:rPr>
          <w:rFonts w:cs="FrankRuehl"/>
          <w:sz w:val="20"/>
          <w:szCs w:val="20"/>
          <w:rtl/>
          <w:lang w:eastAsia="en-US"/>
        </w:rPr>
        <w:t xml:space="preserve">) </w:t>
      </w:r>
      <w:r w:rsidRPr="00812ACF">
        <w:rPr>
          <w:rFonts w:cs="FrankRuehl"/>
          <w:sz w:val="20"/>
          <w:szCs w:val="20"/>
          <w:lang w:eastAsia="en-US"/>
        </w:rPr>
        <w:t>8092</w:t>
      </w:r>
      <w:r w:rsidRPr="00812ACF">
        <w:rPr>
          <w:rFonts w:cs="FrankRuehl"/>
          <w:sz w:val="20"/>
          <w:szCs w:val="20"/>
          <w:rtl/>
          <w:lang w:eastAsia="en-US"/>
        </w:rPr>
        <w:t>על "סינון" משפטי מוקדם של קובלנה פרטית שלא ניתנה לה</w:t>
      </w:r>
      <w:r w:rsidRPr="00812ACF">
        <w:rPr>
          <w:rFonts w:cs="FrankRuehl"/>
          <w:sz w:val="20"/>
          <w:szCs w:val="20"/>
          <w:lang w:eastAsia="en-US"/>
        </w:rPr>
        <w:t xml:space="preserve"> </w:t>
      </w:r>
      <w:r w:rsidRPr="00812ACF">
        <w:rPr>
          <w:rFonts w:cs="FrankRuehl"/>
          <w:sz w:val="20"/>
          <w:szCs w:val="20"/>
          <w:rtl/>
          <w:lang w:eastAsia="en-US"/>
        </w:rPr>
        <w:t xml:space="preserve">הסכמת הממונה, לא אומצה בחוק מ- </w:t>
      </w:r>
      <w:r w:rsidRPr="00812ACF">
        <w:rPr>
          <w:rFonts w:cs="FrankRuehl"/>
          <w:sz w:val="20"/>
          <w:szCs w:val="20"/>
          <w:lang w:eastAsia="en-US"/>
        </w:rPr>
        <w:t>.1985</w:t>
      </w:r>
      <w:proofErr w:type="spellStart"/>
      <w:r w:rsidRPr="00812ACF">
        <w:rPr>
          <w:rFonts w:cs="FrankRuehl"/>
          <w:sz w:val="20"/>
          <w:szCs w:val="20"/>
          <w:rtl/>
          <w:lang w:eastAsia="en-US"/>
        </w:rPr>
        <w:t>פרופ</w:t>
      </w:r>
      <w:proofErr w:type="spellEnd"/>
      <w:r w:rsidRPr="00812ACF">
        <w:rPr>
          <w:rFonts w:cs="FrankRuehl"/>
          <w:sz w:val="20"/>
          <w:szCs w:val="20"/>
          <w:rtl/>
          <w:lang w:eastAsia="en-US"/>
        </w:rPr>
        <w:t xml:space="preserve">' גביזון, בספרה הנ"ל,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 xml:space="preserve">500, </w:t>
      </w:r>
      <w:r w:rsidRPr="00812ACF">
        <w:rPr>
          <w:rFonts w:cs="FrankRuehl"/>
          <w:sz w:val="20"/>
          <w:szCs w:val="20"/>
          <w:rtl/>
          <w:lang w:eastAsia="en-US"/>
        </w:rPr>
        <w:t>מייחסת את דחיית ההמלצה ל"רטוריקה", שלפיה הזכות להניע את ההליך הפלילי היא ערובה חשובה לחירות ולאכיפת החוק.</w:t>
      </w:r>
      <w:proofErr w:type="gramEnd"/>
      <w:r w:rsidRPr="00812ACF">
        <w:rPr>
          <w:rFonts w:cs="FrankRuehl"/>
          <w:sz w:val="20"/>
          <w:szCs w:val="20"/>
          <w:rtl/>
          <w:lang w:eastAsia="en-US"/>
        </w:rPr>
        <w:t xml:space="preserve"> האם זו רק רטוריקה? עובדה היא, שבאנגליה זו השקפה שבהכרה עמוקה, שקנתה לה אחיזה מזה דורות רבים. עמד על כך כבר </w:t>
      </w:r>
      <w:r w:rsidRPr="00812ACF">
        <w:rPr>
          <w:rFonts w:cs="FrankRuehl"/>
          <w:sz w:val="20"/>
          <w:szCs w:val="20"/>
          <w:lang w:eastAsia="en-US"/>
        </w:rPr>
        <w:t xml:space="preserve">sir </w:t>
      </w:r>
      <w:proofErr w:type="spellStart"/>
      <w:r w:rsidRPr="00812ACF">
        <w:rPr>
          <w:rFonts w:cs="FrankRuehl"/>
          <w:sz w:val="20"/>
          <w:szCs w:val="20"/>
          <w:lang w:eastAsia="en-US"/>
        </w:rPr>
        <w:t>james</w:t>
      </w:r>
      <w:proofErr w:type="spellEnd"/>
      <w:r w:rsidRPr="00812ACF">
        <w:rPr>
          <w:rFonts w:cs="FrankRuehl"/>
          <w:sz w:val="20"/>
          <w:szCs w:val="20"/>
          <w:lang w:eastAsia="en-US"/>
        </w:rPr>
        <w:t xml:space="preserve"> </w:t>
      </w:r>
      <w:proofErr w:type="spellStart"/>
      <w:r w:rsidRPr="00812ACF">
        <w:rPr>
          <w:rFonts w:cs="FrankRuehl"/>
          <w:sz w:val="20"/>
          <w:szCs w:val="20"/>
          <w:lang w:eastAsia="en-US"/>
        </w:rPr>
        <w:t>stephen</w:t>
      </w:r>
      <w:proofErr w:type="spellEnd"/>
      <w:r w:rsidRPr="00812ACF">
        <w:rPr>
          <w:rFonts w:cs="FrankRuehl"/>
          <w:sz w:val="20"/>
          <w:szCs w:val="20"/>
          <w:rtl/>
          <w:lang w:eastAsia="en-US"/>
        </w:rPr>
        <w:t xml:space="preserve">: </w:t>
      </w:r>
      <w:r w:rsidRPr="00812ACF">
        <w:rPr>
          <w:rFonts w:cs="FrankRuehl"/>
          <w:sz w:val="20"/>
          <w:szCs w:val="20"/>
          <w:lang w:eastAsia="en-US"/>
        </w:rPr>
        <w:t xml:space="preserve">... Both in our own days and in earlier </w:t>
      </w:r>
      <w:proofErr w:type="gramStart"/>
      <w:r w:rsidRPr="00812ACF">
        <w:rPr>
          <w:rFonts w:cs="FrankRuehl"/>
          <w:sz w:val="20"/>
          <w:szCs w:val="20"/>
          <w:lang w:eastAsia="en-US"/>
        </w:rPr>
        <w:t>times</w:t>
      </w:r>
      <w:r w:rsidRPr="00812ACF">
        <w:rPr>
          <w:rFonts w:cs="FrankRuehl"/>
          <w:sz w:val="20"/>
          <w:szCs w:val="20"/>
          <w:rtl/>
          <w:lang w:eastAsia="en-US"/>
        </w:rPr>
        <w:t>(</w:t>
      </w:r>
      <w:proofErr w:type="gramEnd"/>
      <w:r w:rsidRPr="00812ACF">
        <w:rPr>
          <w:rFonts w:cs="FrankRuehl"/>
          <w:sz w:val="20"/>
          <w:szCs w:val="20"/>
          <w:lang w:eastAsia="en-US"/>
        </w:rPr>
        <w:t>private prosecutions</w:t>
      </w:r>
      <w:r w:rsidRPr="00812ACF">
        <w:rPr>
          <w:rFonts w:cs="FrankRuehl"/>
          <w:sz w:val="20"/>
          <w:szCs w:val="20"/>
          <w:rtl/>
          <w:lang w:eastAsia="en-US"/>
        </w:rPr>
        <w:t>)</w:t>
      </w:r>
      <w:r w:rsidRPr="00812ACF">
        <w:rPr>
          <w:rFonts w:cs="FrankRuehl"/>
          <w:sz w:val="20"/>
          <w:szCs w:val="20"/>
          <w:lang w:eastAsia="en-US"/>
        </w:rPr>
        <w:t>"</w:t>
      </w:r>
      <w:r w:rsidRPr="00812ACF">
        <w:rPr>
          <w:rFonts w:cs="FrankRuehl"/>
          <w:sz w:val="20"/>
          <w:szCs w:val="20"/>
          <w:rtl/>
          <w:lang w:eastAsia="en-US"/>
        </w:rPr>
        <w:t xml:space="preserve"> </w:t>
      </w:r>
      <w:r w:rsidRPr="00812ACF">
        <w:rPr>
          <w:rFonts w:cs="FrankRuehl"/>
          <w:sz w:val="20"/>
          <w:szCs w:val="20"/>
          <w:lang w:eastAsia="en-US"/>
        </w:rPr>
        <w:t xml:space="preserve">Of great constitutional importance... No stronger or more effectual have decided peaceably and in an authentic manner many questions Land, by all persons under all circumstances, than is given by the guarantee can be provided for the due observance of the law of the Power, conceded to everyone by the </w:t>
      </w:r>
      <w:proofErr w:type="spellStart"/>
      <w:r w:rsidRPr="00812ACF">
        <w:rPr>
          <w:rFonts w:cs="FrankRuehl"/>
          <w:sz w:val="20"/>
          <w:szCs w:val="20"/>
          <w:lang w:eastAsia="en-US"/>
        </w:rPr>
        <w:t>english</w:t>
      </w:r>
      <w:proofErr w:type="spellEnd"/>
      <w:r w:rsidRPr="00812ACF">
        <w:rPr>
          <w:rFonts w:cs="FrankRuehl"/>
          <w:sz w:val="20"/>
          <w:szCs w:val="20"/>
          <w:lang w:eastAsia="en-US"/>
        </w:rPr>
        <w:t xml:space="preserve"> system of testing the J. Stephen, legality of any conduct of which he disapproves, either on private</w:t>
      </w:r>
      <w:r w:rsidRPr="00812ACF">
        <w:rPr>
          <w:rFonts w:cs="FrankRuehl"/>
          <w:sz w:val="20"/>
          <w:szCs w:val="20"/>
          <w:rtl/>
          <w:lang w:eastAsia="en-US"/>
        </w:rPr>
        <w:t>)</w:t>
      </w:r>
      <w:r w:rsidRPr="00812ACF">
        <w:rPr>
          <w:rFonts w:cs="FrankRuehl"/>
          <w:sz w:val="20"/>
          <w:szCs w:val="20"/>
          <w:lang w:eastAsia="en-US"/>
        </w:rPr>
        <w:t xml:space="preserve"> " or on public grounds, by a criminal prosecution .</w:t>
      </w:r>
      <w:r w:rsidRPr="00812ACF">
        <w:rPr>
          <w:rFonts w:cs="FrankRuehl"/>
          <w:sz w:val="20"/>
          <w:szCs w:val="20"/>
          <w:rtl/>
          <w:lang w:eastAsia="en-US"/>
        </w:rPr>
        <w:t>(</w:t>
      </w:r>
      <w:r w:rsidRPr="00812ACF">
        <w:rPr>
          <w:rFonts w:cs="FrankRuehl"/>
          <w:sz w:val="20"/>
          <w:szCs w:val="20"/>
          <w:lang w:eastAsia="en-US"/>
        </w:rPr>
        <w:t xml:space="preserve"> 496,1883</w:t>
      </w:r>
      <w:r w:rsidRPr="00812ACF">
        <w:rPr>
          <w:rFonts w:cs="FrankRuehl"/>
          <w:sz w:val="20"/>
          <w:szCs w:val="20"/>
          <w:rtl/>
          <w:lang w:eastAsia="en-US"/>
        </w:rPr>
        <w:t>)</w:t>
      </w:r>
      <w:r w:rsidRPr="00812ACF">
        <w:rPr>
          <w:rFonts w:cs="FrankRuehl"/>
          <w:sz w:val="20"/>
          <w:szCs w:val="20"/>
          <w:lang w:eastAsia="en-US"/>
        </w:rPr>
        <w:t xml:space="preserve"> a history of the criminal law of </w:t>
      </w:r>
      <w:proofErr w:type="spellStart"/>
      <w:r w:rsidRPr="00812ACF">
        <w:rPr>
          <w:rFonts w:cs="FrankRuehl"/>
          <w:sz w:val="20"/>
          <w:szCs w:val="20"/>
          <w:lang w:eastAsia="en-US"/>
        </w:rPr>
        <w:t>england</w:t>
      </w:r>
      <w:proofErr w:type="spellEnd"/>
      <w:r w:rsidRPr="00812ACF">
        <w:rPr>
          <w:rFonts w:cs="FrankRuehl"/>
          <w:sz w:val="20"/>
          <w:szCs w:val="20"/>
          <w:rtl/>
          <w:lang w:eastAsia="en-US"/>
        </w:rPr>
        <w:t xml:space="preserve"> הכרה זו לא נתמעטה שם גם בימינו. היא עדיין נתפשת כערובה קונסטיטוציונית לשימוש החוקי בסמכות התביעה הכללית ונגד סירוב או מחדל שרירותי, מושחת, או משוחד להעמיד עבריינים לדין. ראה</w:t>
      </w:r>
      <w:r w:rsidRPr="00812ACF">
        <w:rPr>
          <w:rFonts w:cs="FrankRuehl"/>
          <w:sz w:val="20"/>
          <w:szCs w:val="20"/>
          <w:lang w:eastAsia="en-US"/>
        </w:rPr>
        <w:t xml:space="preserve">: </w:t>
      </w:r>
      <w:proofErr w:type="spellStart"/>
      <w:r w:rsidRPr="00812ACF">
        <w:rPr>
          <w:rFonts w:cs="FrankRuehl"/>
          <w:sz w:val="20"/>
          <w:szCs w:val="20"/>
          <w:lang w:eastAsia="en-US"/>
        </w:rPr>
        <w:t>gouriet</w:t>
      </w:r>
      <w:proofErr w:type="spellEnd"/>
      <w:r w:rsidRPr="00812ACF">
        <w:rPr>
          <w:rFonts w:cs="FrankRuehl"/>
          <w:sz w:val="20"/>
          <w:szCs w:val="20"/>
          <w:lang w:eastAsia="en-US"/>
        </w:rPr>
        <w:t xml:space="preserve"> v. Union of post office</w:t>
      </w:r>
      <w:r w:rsidRPr="00812ACF">
        <w:rPr>
          <w:rFonts w:cs="FrankRuehl"/>
          <w:sz w:val="20"/>
          <w:szCs w:val="20"/>
          <w:rtl/>
          <w:lang w:eastAsia="en-US"/>
        </w:rPr>
        <w:t xml:space="preserve"> </w:t>
      </w:r>
      <w:r w:rsidRPr="00812ACF">
        <w:rPr>
          <w:rFonts w:cs="FrankRuehl"/>
          <w:sz w:val="20"/>
          <w:szCs w:val="20"/>
          <w:lang w:eastAsia="en-US"/>
        </w:rPr>
        <w:t xml:space="preserve">97, </w:t>
      </w:r>
      <w:proofErr w:type="gramStart"/>
      <w:r w:rsidRPr="00812ACF">
        <w:rPr>
          <w:rFonts w:cs="FrankRuehl"/>
          <w:sz w:val="20"/>
          <w:szCs w:val="20"/>
          <w:lang w:eastAsia="en-US"/>
        </w:rPr>
        <w:t>at</w:t>
      </w:r>
      <w:r w:rsidRPr="00812ACF">
        <w:rPr>
          <w:rFonts w:cs="FrankRuehl"/>
          <w:sz w:val="20"/>
          <w:szCs w:val="20"/>
          <w:rtl/>
          <w:lang w:eastAsia="en-US"/>
        </w:rPr>
        <w:t>[</w:t>
      </w:r>
      <w:proofErr w:type="gramEnd"/>
      <w:r w:rsidRPr="00812ACF">
        <w:rPr>
          <w:rFonts w:cs="FrankRuehl"/>
          <w:sz w:val="20"/>
          <w:szCs w:val="20"/>
          <w:lang w:eastAsia="en-US"/>
        </w:rPr>
        <w:t>7</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w:t>
      </w:r>
      <w:r w:rsidRPr="00812ACF">
        <w:rPr>
          <w:rFonts w:cs="FrankRuehl"/>
          <w:sz w:val="20"/>
          <w:szCs w:val="20"/>
          <w:lang w:eastAsia="en-US"/>
        </w:rPr>
        <w:t>1977</w:t>
      </w:r>
      <w:r w:rsidRPr="00812ACF">
        <w:rPr>
          <w:rFonts w:cs="FrankRuehl"/>
          <w:sz w:val="20"/>
          <w:szCs w:val="20"/>
          <w:rtl/>
          <w:lang w:eastAsia="en-US"/>
        </w:rPr>
        <w:t>)</w:t>
      </w:r>
      <w:r w:rsidRPr="00812ACF">
        <w:rPr>
          <w:rFonts w:cs="FrankRuehl"/>
          <w:sz w:val="20"/>
          <w:szCs w:val="20"/>
          <w:lang w:eastAsia="en-US"/>
        </w:rPr>
        <w:t xml:space="preserve"> .workers</w:t>
      </w:r>
      <w:r w:rsidRPr="00812ACF">
        <w:rPr>
          <w:rFonts w:cs="FrankRuehl"/>
          <w:sz w:val="20"/>
          <w:szCs w:val="20"/>
          <w:rtl/>
          <w:lang w:eastAsia="en-US"/>
        </w:rPr>
        <w:t xml:space="preserve"> </w:t>
      </w:r>
      <w:r w:rsidRPr="00812ACF">
        <w:rPr>
          <w:rFonts w:cs="FrankRuehl"/>
          <w:sz w:val="20"/>
          <w:szCs w:val="20"/>
          <w:lang w:eastAsia="en-US"/>
        </w:rPr>
        <w:t xml:space="preserve">In </w:t>
      </w:r>
      <w:proofErr w:type="spellStart"/>
      <w:r w:rsidRPr="00812ACF">
        <w:rPr>
          <w:rFonts w:cs="FrankRuehl"/>
          <w:sz w:val="20"/>
          <w:szCs w:val="20"/>
          <w:lang w:eastAsia="en-US"/>
        </w:rPr>
        <w:t>english</w:t>
      </w:r>
      <w:proofErr w:type="spellEnd"/>
      <w:r w:rsidRPr="00812ACF">
        <w:rPr>
          <w:rFonts w:cs="FrankRuehl"/>
          <w:sz w:val="20"/>
          <w:szCs w:val="20"/>
          <w:lang w:eastAsia="en-US"/>
        </w:rPr>
        <w:t xml:space="preserve"> public law every citizen still has the right, as" , to invoke</w:t>
      </w:r>
      <w:r w:rsidRPr="00812ACF">
        <w:rPr>
          <w:rFonts w:cs="FrankRuehl"/>
          <w:sz w:val="20"/>
          <w:szCs w:val="20"/>
          <w:rtl/>
          <w:lang w:eastAsia="en-US"/>
        </w:rPr>
        <w:t>(</w:t>
      </w:r>
      <w:r w:rsidRPr="00812ACF">
        <w:rPr>
          <w:rFonts w:cs="FrankRuehl"/>
          <w:sz w:val="20"/>
          <w:szCs w:val="20"/>
          <w:lang w:eastAsia="en-US"/>
        </w:rPr>
        <w:t>though of imperfect obligation</w:t>
      </w:r>
      <w:r w:rsidRPr="00812ACF">
        <w:rPr>
          <w:rFonts w:cs="FrankRuehl"/>
          <w:sz w:val="20"/>
          <w:szCs w:val="20"/>
          <w:rtl/>
          <w:lang w:eastAsia="en-US"/>
        </w:rPr>
        <w:t>)</w:t>
      </w:r>
      <w:r w:rsidRPr="00812ACF">
        <w:rPr>
          <w:rFonts w:cs="FrankRuehl"/>
          <w:sz w:val="20"/>
          <w:szCs w:val="20"/>
          <w:lang w:eastAsia="en-US"/>
        </w:rPr>
        <w:t xml:space="preserve"> he once had a duty</w:t>
      </w:r>
      <w:r w:rsidRPr="00812ACF">
        <w:rPr>
          <w:rFonts w:cs="FrankRuehl"/>
          <w:sz w:val="20"/>
          <w:szCs w:val="20"/>
          <w:rtl/>
          <w:lang w:eastAsia="en-US"/>
        </w:rPr>
        <w:t xml:space="preserve"> </w:t>
      </w:r>
      <w:r w:rsidRPr="00812ACF">
        <w:rPr>
          <w:rFonts w:cs="FrankRuehl"/>
          <w:sz w:val="20"/>
          <w:szCs w:val="20"/>
          <w:lang w:eastAsia="en-US"/>
        </w:rPr>
        <w:t>Criminal law by this procedure. It is a right which nowadays seldom the aid of courts of criminal jurisdiction for the enforcement of the</w:t>
      </w:r>
      <w:r w:rsidRPr="00812ACF">
        <w:rPr>
          <w:rFonts w:cs="FrankRuehl"/>
          <w:sz w:val="20"/>
          <w:szCs w:val="20"/>
          <w:rtl/>
          <w:lang w:eastAsia="en-US"/>
        </w:rPr>
        <w:t xml:space="preserve"> </w:t>
      </w:r>
      <w:r w:rsidRPr="00812ACF">
        <w:rPr>
          <w:rFonts w:cs="FrankRuehl"/>
          <w:sz w:val="20"/>
          <w:szCs w:val="20"/>
          <w:lang w:eastAsia="en-US"/>
        </w:rPr>
        <w:t>Since the formation of regular police forces charged with the needs to be exercised by an ordinary member of the public, for Duty in public law to prevent and detect crime and to bring</w:t>
      </w:r>
      <w:r w:rsidRPr="00812ACF">
        <w:rPr>
          <w:rFonts w:cs="FrankRuehl"/>
          <w:sz w:val="20"/>
          <w:szCs w:val="20"/>
          <w:rtl/>
          <w:lang w:eastAsia="en-US"/>
        </w:rPr>
        <w:t xml:space="preserve"> </w:t>
      </w:r>
      <w:r w:rsidRPr="00812ACF">
        <w:rPr>
          <w:rFonts w:cs="FrankRuehl"/>
          <w:sz w:val="20"/>
          <w:szCs w:val="20"/>
          <w:lang w:eastAsia="en-US"/>
        </w:rPr>
        <w:t>Of the office of</w:t>
      </w:r>
      <w:r w:rsidRPr="00812ACF">
        <w:rPr>
          <w:rFonts w:cs="FrankRuehl"/>
          <w:sz w:val="20"/>
          <w:szCs w:val="20"/>
          <w:rtl/>
          <w:lang w:eastAsia="en-US"/>
        </w:rPr>
        <w:t xml:space="preserve"> </w:t>
      </w:r>
      <w:r w:rsidRPr="00812ACF">
        <w:rPr>
          <w:rFonts w:cs="FrankRuehl"/>
          <w:sz w:val="20"/>
          <w:szCs w:val="20"/>
          <w:lang w:eastAsia="en-US"/>
        </w:rPr>
        <w:t>1879by private individuals has director of public prosecutions, the need for prosecutions criminals to justice and the creation in</w:t>
      </w:r>
      <w:r w:rsidRPr="00812ACF">
        <w:rPr>
          <w:rFonts w:cs="FrankRuehl"/>
          <w:sz w:val="20"/>
          <w:szCs w:val="20"/>
          <w:rtl/>
          <w:lang w:eastAsia="en-US"/>
        </w:rPr>
        <w:t>(</w:t>
      </w:r>
      <w:r w:rsidRPr="00812ACF">
        <w:rPr>
          <w:rFonts w:cs="FrankRuehl"/>
          <w:sz w:val="20"/>
          <w:szCs w:val="20"/>
          <w:lang w:eastAsia="en-US"/>
        </w:rPr>
        <w:t>and paid for</w:t>
      </w:r>
      <w:r w:rsidRPr="00812ACF">
        <w:rPr>
          <w:rFonts w:cs="FrankRuehl"/>
          <w:sz w:val="20"/>
          <w:szCs w:val="20"/>
          <w:rtl/>
          <w:lang w:eastAsia="en-US"/>
        </w:rPr>
        <w:t xml:space="preserve">) </w:t>
      </w:r>
      <w:r w:rsidRPr="00812ACF">
        <w:rPr>
          <w:rFonts w:cs="FrankRuehl"/>
          <w:sz w:val="20"/>
          <w:szCs w:val="20"/>
          <w:lang w:eastAsia="en-US"/>
        </w:rPr>
        <w:t>to be undertaken</w:t>
      </w:r>
      <w:r w:rsidRPr="00812ACF">
        <w:rPr>
          <w:rFonts w:cs="FrankRuehl"/>
          <w:sz w:val="20"/>
          <w:szCs w:val="20"/>
          <w:rtl/>
          <w:lang w:eastAsia="en-US"/>
        </w:rPr>
        <w:t xml:space="preserve"> </w:t>
      </w:r>
      <w:r w:rsidRPr="00812ACF">
        <w:rPr>
          <w:rFonts w:cs="FrankRuehl"/>
          <w:sz w:val="20"/>
          <w:szCs w:val="20"/>
          <w:lang w:eastAsia="en-US"/>
        </w:rPr>
        <w:t xml:space="preserve">But it still exists and is a </w:t>
      </w:r>
      <w:proofErr w:type="spellStart"/>
      <w:r w:rsidRPr="00812ACF">
        <w:rPr>
          <w:rFonts w:cs="FrankRuehl"/>
          <w:sz w:val="20"/>
          <w:szCs w:val="20"/>
          <w:lang w:eastAsia="en-US"/>
        </w:rPr>
        <w:t>useful;constitutional</w:t>
      </w:r>
      <w:proofErr w:type="spellEnd"/>
      <w:r w:rsidRPr="00812ACF">
        <w:rPr>
          <w:rFonts w:cs="FrankRuehl"/>
          <w:sz w:val="20"/>
          <w:szCs w:val="20"/>
          <w:lang w:eastAsia="en-US"/>
        </w:rPr>
        <w:t xml:space="preserve"> safeguard against capricious, corrupt or largely disappeared</w:t>
      </w:r>
      <w:r w:rsidRPr="00812ACF">
        <w:rPr>
          <w:rFonts w:cs="FrankRuehl"/>
          <w:sz w:val="20"/>
          <w:szCs w:val="20"/>
          <w:rtl/>
          <w:lang w:eastAsia="en-US"/>
        </w:rPr>
        <w:t xml:space="preserve"> </w:t>
      </w:r>
      <w:r w:rsidRPr="00812ACF">
        <w:rPr>
          <w:rFonts w:cs="FrankRuehl"/>
          <w:sz w:val="20"/>
          <w:szCs w:val="20"/>
          <w:lang w:eastAsia="en-US"/>
        </w:rPr>
        <w:t>Biased failure or refusal of those authorities to prosecute</w:t>
      </w:r>
      <w:r w:rsidRPr="00812ACF">
        <w:rPr>
          <w:rFonts w:cs="FrankRuehl"/>
          <w:sz w:val="20"/>
          <w:szCs w:val="20"/>
          <w:rtl/>
          <w:lang w:eastAsia="en-US"/>
        </w:rPr>
        <w:t>(ההדגשות שלי - ש' נ</w:t>
      </w:r>
      <w:r w:rsidRPr="00812ACF">
        <w:rPr>
          <w:rFonts w:cs="FrankRuehl"/>
          <w:sz w:val="20"/>
          <w:szCs w:val="20"/>
          <w:lang w:eastAsia="en-US"/>
        </w:rPr>
        <w:t>'</w:t>
      </w:r>
      <w:r w:rsidRPr="00812ACF">
        <w:rPr>
          <w:rFonts w:cs="FrankRuehl"/>
          <w:sz w:val="20"/>
          <w:szCs w:val="20"/>
          <w:rtl/>
          <w:lang w:eastAsia="en-US"/>
        </w:rPr>
        <w:t>)</w:t>
      </w:r>
      <w:r w:rsidRPr="00812ACF">
        <w:rPr>
          <w:rFonts w:cs="FrankRuehl"/>
          <w:sz w:val="20"/>
          <w:szCs w:val="20"/>
          <w:lang w:eastAsia="en-US"/>
        </w:rPr>
        <w:t xml:space="preserve"> "offenders against the criminal law</w:t>
      </w:r>
      <w:r w:rsidRPr="00812ACF">
        <w:rPr>
          <w:rFonts w:cs="FrankRuehl"/>
          <w:sz w:val="20"/>
          <w:szCs w:val="20"/>
          <w:rtl/>
          <w:lang w:eastAsia="en-US"/>
        </w:rPr>
        <w:t xml:space="preserve"> השקפה זו אומצה גם אצלנו. ראה </w:t>
      </w:r>
      <w:hyperlink r:id="rId48" w:history="1">
        <w:r w:rsidRPr="00812ACF">
          <w:rPr>
            <w:rStyle w:val="Hyperlink"/>
            <w:rFonts w:cs="FrankRuehl"/>
            <w:sz w:val="20"/>
            <w:szCs w:val="20"/>
            <w:rtl/>
            <w:lang w:eastAsia="en-US"/>
          </w:rPr>
          <w:t>בג"צ 110/50</w:t>
        </w:r>
      </w:hyperlink>
      <w:r w:rsidRPr="00812ACF">
        <w:rPr>
          <w:rFonts w:cs="FrankRuehl"/>
          <w:sz w:val="20"/>
          <w:szCs w:val="20"/>
          <w:rtl/>
          <w:lang w:eastAsia="en-US"/>
        </w:rPr>
        <w:t xml:space="preserve"> [2], שם עתר הנפגע נגד סירוב המשטרה</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 xml:space="preserve">לתת לו אישור שאין בדעתה להגיש אישום (אישור שהיה דרוש לו אז לשם הגשת הקובלנה, לפי סעיף </w:t>
      </w:r>
      <w:r w:rsidRPr="00812ACF">
        <w:rPr>
          <w:rFonts w:cs="FrankRuehl"/>
          <w:sz w:val="20"/>
          <w:szCs w:val="20"/>
          <w:lang w:eastAsia="en-US"/>
        </w:rPr>
        <w:t>19</w:t>
      </w:r>
      <w:r w:rsidRPr="00812ACF">
        <w:rPr>
          <w:rFonts w:cs="FrankRuehl"/>
          <w:sz w:val="20"/>
          <w:szCs w:val="20"/>
          <w:rtl/>
          <w:lang w:eastAsia="en-US"/>
        </w:rPr>
        <w:t xml:space="preserve">לפקודת שיפוט בתי משפט השלום). טענת הפרקליטות הייתה, כי אם המשטרה משוכנעת שהתלונה עומדת על יסודות רעועים, רשאית היא ואף חייבת לסרב מתן אישור, כדי למנוע בזבוז זמנו של בית המשפט וסבל לנאשם. טענה זו נדחתה, וכך נאמר שם מפי השופט </w:t>
      </w:r>
      <w:proofErr w:type="spellStart"/>
      <w:r w:rsidRPr="00812ACF">
        <w:rPr>
          <w:rFonts w:cs="FrankRuehl"/>
          <w:sz w:val="20"/>
          <w:szCs w:val="20"/>
          <w:rtl/>
          <w:lang w:eastAsia="en-US"/>
        </w:rPr>
        <w:t>אגרנט</w:t>
      </w:r>
      <w:proofErr w:type="spellEnd"/>
      <w:r w:rsidRPr="00812ACF">
        <w:rPr>
          <w:rFonts w:cs="FrankRuehl"/>
          <w:sz w:val="20"/>
          <w:szCs w:val="20"/>
          <w:rtl/>
          <w:lang w:eastAsia="en-US"/>
        </w:rPr>
        <w:t xml:space="preserve"> (כתוארו אז),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148</w:t>
      </w:r>
      <w:r w:rsidRPr="00812ACF">
        <w:rPr>
          <w:rFonts w:cs="FrankRuehl"/>
          <w:sz w:val="20"/>
          <w:szCs w:val="20"/>
          <w:rtl/>
          <w:lang w:eastAsia="en-US"/>
        </w:rPr>
        <w:t>:</w:t>
      </w:r>
    </w:p>
    <w:p w:rsidR="00812ACF" w:rsidRPr="00812ACF" w:rsidRDefault="00812ACF" w:rsidP="00812ACF">
      <w:pPr>
        <w:tabs>
          <w:tab w:val="left" w:pos="288"/>
          <w:tab w:val="left" w:pos="720"/>
          <w:tab w:val="left" w:pos="1296"/>
        </w:tabs>
        <w:spacing w:after="80" w:line="260" w:lineRule="exact"/>
        <w:ind w:left="567" w:right="567"/>
        <w:rPr>
          <w:rFonts w:cs="FrankRuehl"/>
          <w:sz w:val="20"/>
          <w:szCs w:val="20"/>
          <w:lang w:eastAsia="en-US"/>
        </w:rPr>
      </w:pPr>
      <w:r w:rsidRPr="00812ACF">
        <w:rPr>
          <w:rFonts w:cs="FrankRuehl"/>
          <w:sz w:val="20"/>
          <w:szCs w:val="20"/>
          <w:lang w:eastAsia="en-US"/>
        </w:rPr>
        <w:t>"...</w:t>
      </w:r>
      <w:r w:rsidRPr="00812ACF">
        <w:rPr>
          <w:rFonts w:cs="FrankRuehl"/>
          <w:sz w:val="20"/>
          <w:szCs w:val="20"/>
          <w:rtl/>
          <w:lang w:eastAsia="en-US"/>
        </w:rPr>
        <w:t xml:space="preserve">אין לנו ספק, שהמחוקק התכוון להעניק לאזרח... ערובה חשובה, הבאה להבטיח כי זה יבוא על סיפוק זכויותיו לגבי אותן העבירות הנתונות בסמכותו של בית משפט השלום. </w:t>
      </w:r>
      <w:proofErr w:type="spellStart"/>
      <w:r w:rsidRPr="00812ACF">
        <w:rPr>
          <w:rFonts w:cs="FrankRuehl"/>
          <w:sz w:val="20"/>
          <w:szCs w:val="20"/>
          <w:rtl/>
          <w:lang w:eastAsia="en-US"/>
        </w:rPr>
        <w:t>ביחוד</w:t>
      </w:r>
      <w:proofErr w:type="spellEnd"/>
      <w:r w:rsidRPr="00812ACF">
        <w:rPr>
          <w:rFonts w:cs="FrankRuehl"/>
          <w:sz w:val="20"/>
          <w:szCs w:val="20"/>
          <w:rtl/>
          <w:lang w:eastAsia="en-US"/>
        </w:rPr>
        <w:t xml:space="preserve"> חשוב הוא קיום ערובה זו בידי אנשים, בעלי אמצעים מוגבלים, אשר ידם</w:t>
      </w:r>
      <w:r w:rsidRPr="00812ACF">
        <w:rPr>
          <w:rFonts w:cs="FrankRuehl"/>
          <w:sz w:val="20"/>
          <w:szCs w:val="20"/>
          <w:lang w:eastAsia="en-US"/>
        </w:rPr>
        <w:t xml:space="preserve"> </w:t>
      </w:r>
      <w:r w:rsidRPr="00812ACF">
        <w:rPr>
          <w:rFonts w:cs="FrankRuehl"/>
          <w:sz w:val="20"/>
          <w:szCs w:val="20"/>
          <w:rtl/>
          <w:lang w:eastAsia="en-US"/>
        </w:rPr>
        <w:t>אינה משגת לנקוט תרופות אזרחיות רגילות</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lang w:eastAsia="en-US"/>
        </w:rPr>
        <w:t xml:space="preserve"> </w:t>
      </w:r>
      <w:proofErr w:type="gramStart"/>
      <w:r w:rsidRPr="00812ACF">
        <w:rPr>
          <w:rFonts w:cs="FrankRuehl"/>
          <w:sz w:val="20"/>
          <w:szCs w:val="20"/>
          <w:lang w:eastAsia="en-US"/>
        </w:rPr>
        <w:t>.5</w:t>
      </w:r>
      <w:r w:rsidRPr="00812ACF">
        <w:rPr>
          <w:rFonts w:cs="FrankRuehl"/>
          <w:sz w:val="20"/>
          <w:szCs w:val="20"/>
          <w:rtl/>
          <w:lang w:eastAsia="en-US"/>
        </w:rPr>
        <w:t>אין ספק, שלצד המעלה של הקובלנה הפרטית, שהובהרה לעיל, יש בה גם</w:t>
      </w:r>
      <w:r w:rsidRPr="00812ACF">
        <w:rPr>
          <w:rFonts w:cs="FrankRuehl"/>
          <w:sz w:val="20"/>
          <w:szCs w:val="20"/>
          <w:lang w:eastAsia="en-US"/>
        </w:rPr>
        <w:t xml:space="preserve"> </w:t>
      </w:r>
      <w:r w:rsidRPr="00812ACF">
        <w:rPr>
          <w:rFonts w:cs="FrankRuehl"/>
          <w:sz w:val="20"/>
          <w:szCs w:val="20"/>
          <w:rtl/>
          <w:lang w:eastAsia="en-US"/>
        </w:rPr>
        <w:t>חסרונות, שעליהם עוד אעמוד.</w:t>
      </w:r>
      <w:proofErr w:type="gramEnd"/>
      <w:r w:rsidRPr="00812ACF">
        <w:rPr>
          <w:rFonts w:cs="FrankRuehl"/>
          <w:sz w:val="20"/>
          <w:szCs w:val="20"/>
          <w:rtl/>
          <w:lang w:eastAsia="en-US"/>
        </w:rPr>
        <w:t xml:space="preserve"> אך תחילה יש לבחון את היקפה וגבולותיה של הקובלנה הפרטית בחוק הישראלי</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הזכות לקובלנה פרטית נתונה בעבירה מהעבירות המנויות</w:t>
      </w:r>
      <w:r w:rsidRPr="00812ACF">
        <w:rPr>
          <w:rFonts w:cs="FrankRuehl"/>
          <w:sz w:val="20"/>
          <w:szCs w:val="20"/>
          <w:lang w:eastAsia="en-US"/>
        </w:rPr>
        <w:t xml:space="preserve"> </w:t>
      </w:r>
      <w:r w:rsidRPr="00812ACF">
        <w:rPr>
          <w:rFonts w:cs="FrankRuehl"/>
          <w:sz w:val="20"/>
          <w:szCs w:val="20"/>
          <w:rtl/>
          <w:lang w:eastAsia="en-US"/>
        </w:rPr>
        <w:t xml:space="preserve">בתוספת </w:t>
      </w:r>
      <w:proofErr w:type="spellStart"/>
      <w:r w:rsidRPr="00812ACF">
        <w:rPr>
          <w:rFonts w:cs="FrankRuehl"/>
          <w:sz w:val="20"/>
          <w:szCs w:val="20"/>
          <w:rtl/>
          <w:lang w:eastAsia="en-US"/>
        </w:rPr>
        <w:t>השניה</w:t>
      </w:r>
      <w:proofErr w:type="spellEnd"/>
      <w:r w:rsidRPr="00812ACF">
        <w:rPr>
          <w:rFonts w:cs="FrankRuehl"/>
          <w:sz w:val="20"/>
          <w:szCs w:val="20"/>
          <w:rtl/>
          <w:lang w:eastAsia="en-US"/>
        </w:rPr>
        <w:t xml:space="preserve"> לחוק (סעיף </w:t>
      </w:r>
      <w:r w:rsidRPr="00812ACF">
        <w:rPr>
          <w:rFonts w:cs="FrankRuehl"/>
          <w:sz w:val="20"/>
          <w:szCs w:val="20"/>
          <w:lang w:eastAsia="en-US"/>
        </w:rPr>
        <w:t>68</w:t>
      </w:r>
      <w:r w:rsidRPr="00812ACF">
        <w:rPr>
          <w:rFonts w:cs="FrankRuehl"/>
          <w:sz w:val="20"/>
          <w:szCs w:val="20"/>
          <w:rtl/>
          <w:lang w:eastAsia="en-US"/>
        </w:rPr>
        <w:t xml:space="preserve">לחוק) וכן גם בעבירות מסוימות על פי חוקים אחרים שלא נכללו בתוספת </w:t>
      </w:r>
      <w:proofErr w:type="spellStart"/>
      <w:r w:rsidRPr="00812ACF">
        <w:rPr>
          <w:rFonts w:cs="FrankRuehl"/>
          <w:sz w:val="20"/>
          <w:szCs w:val="20"/>
          <w:rtl/>
          <w:lang w:eastAsia="en-US"/>
        </w:rPr>
        <w:t>השניה</w:t>
      </w:r>
      <w:proofErr w:type="spellEnd"/>
      <w:r w:rsidRPr="00812ACF">
        <w:rPr>
          <w:rFonts w:cs="FrankRuehl"/>
          <w:sz w:val="20"/>
          <w:szCs w:val="20"/>
          <w:rtl/>
          <w:lang w:eastAsia="en-US"/>
        </w:rPr>
        <w:t xml:space="preserve"> - עבירות על פי </w:t>
      </w:r>
      <w:hyperlink r:id="rId49" w:history="1">
        <w:r w:rsidRPr="00812ACF">
          <w:rPr>
            <w:rStyle w:val="Hyperlink"/>
            <w:rFonts w:cs="FrankRuehl"/>
            <w:sz w:val="20"/>
            <w:szCs w:val="20"/>
            <w:rtl/>
            <w:lang w:eastAsia="en-US"/>
          </w:rPr>
          <w:t>חוק איסור לשון הרע</w:t>
        </w:r>
      </w:hyperlink>
      <w:r w:rsidRPr="00812ACF">
        <w:rPr>
          <w:rFonts w:cs="FrankRuehl"/>
          <w:sz w:val="20"/>
          <w:szCs w:val="20"/>
          <w:rtl/>
          <w:lang w:eastAsia="en-US"/>
        </w:rPr>
        <w:t>, תשכ"ה-</w:t>
      </w:r>
      <w:r w:rsidRPr="00812ACF">
        <w:rPr>
          <w:rFonts w:cs="FrankRuehl"/>
          <w:sz w:val="20"/>
          <w:szCs w:val="20"/>
          <w:lang w:eastAsia="en-US"/>
        </w:rPr>
        <w:t>1965</w:t>
      </w:r>
      <w:r w:rsidRPr="00812ACF">
        <w:rPr>
          <w:rFonts w:cs="FrankRuehl"/>
          <w:sz w:val="20"/>
          <w:szCs w:val="20"/>
          <w:rtl/>
          <w:lang w:eastAsia="en-US"/>
        </w:rPr>
        <w:t>, ו</w:t>
      </w:r>
      <w:hyperlink r:id="rId50" w:history="1">
        <w:r w:rsidRPr="00812ACF">
          <w:rPr>
            <w:rStyle w:val="Hyperlink"/>
            <w:rFonts w:cs="FrankRuehl"/>
            <w:sz w:val="20"/>
            <w:szCs w:val="20"/>
            <w:rtl/>
            <w:lang w:eastAsia="en-US"/>
          </w:rPr>
          <w:t>חוק הבחירות</w:t>
        </w:r>
      </w:hyperlink>
      <w:r w:rsidRPr="00812ACF">
        <w:rPr>
          <w:rFonts w:cs="FrankRuehl"/>
          <w:sz w:val="20"/>
          <w:szCs w:val="20"/>
          <w:rtl/>
          <w:lang w:eastAsia="en-US"/>
        </w:rPr>
        <w:t xml:space="preserve"> (דרכי תעמולה), תשי"ט-</w:t>
      </w:r>
      <w:r w:rsidRPr="00812ACF">
        <w:rPr>
          <w:rFonts w:cs="FrankRuehl"/>
          <w:sz w:val="20"/>
          <w:szCs w:val="20"/>
          <w:lang w:eastAsia="en-US"/>
        </w:rPr>
        <w:t xml:space="preserve"> .1959</w:t>
      </w:r>
      <w:r w:rsidRPr="00812ACF">
        <w:rPr>
          <w:rFonts w:cs="FrankRuehl"/>
          <w:sz w:val="20"/>
          <w:szCs w:val="20"/>
          <w:rtl/>
          <w:lang w:eastAsia="en-US"/>
        </w:rPr>
        <w:t xml:space="preserve">החוק אינו מגדיר מי הוא אותו "כל אדם" הרשאי להיות המאשים לפי סעיף </w:t>
      </w:r>
      <w:r w:rsidRPr="00812ACF">
        <w:rPr>
          <w:rFonts w:cs="FrankRuehl"/>
          <w:sz w:val="20"/>
          <w:szCs w:val="20"/>
          <w:lang w:eastAsia="en-US"/>
        </w:rPr>
        <w:t>.68</w:t>
      </w:r>
      <w:r w:rsidRPr="00812ACF">
        <w:rPr>
          <w:rFonts w:cs="FrankRuehl"/>
          <w:sz w:val="20"/>
          <w:szCs w:val="20"/>
          <w:rtl/>
          <w:lang w:eastAsia="en-US"/>
        </w:rPr>
        <w:t xml:space="preserve">רק כמה מהחוקים המקנים זכות לקובלנה פרטית מפרשים מי הוא הרשאי להגיש קובלנה על פיהם. כך סעיף </w:t>
      </w:r>
      <w:r w:rsidRPr="00812ACF">
        <w:rPr>
          <w:rFonts w:cs="FrankRuehl"/>
          <w:sz w:val="20"/>
          <w:szCs w:val="20"/>
          <w:lang w:eastAsia="en-US"/>
        </w:rPr>
        <w:t>21</w:t>
      </w:r>
      <w:r w:rsidRPr="00812ACF">
        <w:rPr>
          <w:rFonts w:cs="FrankRuehl"/>
          <w:sz w:val="20"/>
          <w:szCs w:val="20"/>
          <w:rtl/>
          <w:lang w:eastAsia="en-US"/>
        </w:rPr>
        <w:t>ל</w:t>
      </w:r>
      <w:hyperlink r:id="rId51" w:history="1">
        <w:r w:rsidRPr="00812ACF">
          <w:rPr>
            <w:rStyle w:val="Hyperlink"/>
            <w:rFonts w:cs="FrankRuehl"/>
            <w:sz w:val="20"/>
            <w:szCs w:val="20"/>
            <w:rtl/>
            <w:lang w:eastAsia="en-US"/>
          </w:rPr>
          <w:t xml:space="preserve">חוק שמירת </w:t>
        </w:r>
        <w:proofErr w:type="spellStart"/>
        <w:r w:rsidRPr="00812ACF">
          <w:rPr>
            <w:rStyle w:val="Hyperlink"/>
            <w:rFonts w:cs="FrankRuehl"/>
            <w:sz w:val="20"/>
            <w:szCs w:val="20"/>
            <w:rtl/>
            <w:lang w:eastAsia="en-US"/>
          </w:rPr>
          <w:t>הנקיון</w:t>
        </w:r>
        <w:proofErr w:type="spellEnd"/>
      </w:hyperlink>
      <w:r w:rsidRPr="00812ACF">
        <w:rPr>
          <w:rFonts w:cs="FrankRuehl"/>
          <w:sz w:val="20"/>
          <w:szCs w:val="20"/>
          <w:rtl/>
          <w:lang w:eastAsia="en-US"/>
        </w:rPr>
        <w:t>, תשמ"ד-</w:t>
      </w:r>
      <w:r w:rsidRPr="00812ACF">
        <w:rPr>
          <w:rFonts w:cs="FrankRuehl"/>
          <w:sz w:val="20"/>
          <w:szCs w:val="20"/>
          <w:lang w:eastAsia="en-US"/>
        </w:rPr>
        <w:t>1954</w:t>
      </w:r>
      <w:r w:rsidRPr="00812ACF">
        <w:rPr>
          <w:rFonts w:cs="FrankRuehl"/>
          <w:sz w:val="20"/>
          <w:szCs w:val="20"/>
          <w:rtl/>
          <w:lang w:eastAsia="en-US"/>
        </w:rPr>
        <w:t xml:space="preserve">, מדבר בעבירה "שנעברה ברשות היחיד של הקובל"; סעיף </w:t>
      </w:r>
      <w:r w:rsidRPr="00812ACF">
        <w:rPr>
          <w:rFonts w:cs="FrankRuehl"/>
          <w:sz w:val="20"/>
          <w:szCs w:val="20"/>
          <w:lang w:eastAsia="en-US"/>
        </w:rPr>
        <w:t>20</w:t>
      </w:r>
      <w:r w:rsidRPr="00812ACF">
        <w:rPr>
          <w:rFonts w:cs="FrankRuehl"/>
          <w:sz w:val="20"/>
          <w:szCs w:val="20"/>
          <w:rtl/>
          <w:lang w:eastAsia="en-US"/>
        </w:rPr>
        <w:t>כה ל</w:t>
      </w:r>
      <w:hyperlink r:id="rId52" w:history="1">
        <w:r w:rsidRPr="00812ACF">
          <w:rPr>
            <w:rStyle w:val="Hyperlink"/>
            <w:rFonts w:cs="FrankRuehl"/>
            <w:sz w:val="20"/>
            <w:szCs w:val="20"/>
            <w:rtl/>
            <w:lang w:eastAsia="en-US"/>
          </w:rPr>
          <w:t>חוק המים</w:t>
        </w:r>
      </w:hyperlink>
      <w:r w:rsidRPr="00812ACF">
        <w:rPr>
          <w:rFonts w:cs="FrankRuehl"/>
          <w:sz w:val="20"/>
          <w:szCs w:val="20"/>
          <w:rtl/>
          <w:lang w:eastAsia="en-US"/>
        </w:rPr>
        <w:t>, תשי"ט-</w:t>
      </w:r>
      <w:r w:rsidRPr="00812ACF">
        <w:rPr>
          <w:rFonts w:cs="FrankRuehl"/>
          <w:sz w:val="20"/>
          <w:szCs w:val="20"/>
          <w:lang w:eastAsia="en-US"/>
        </w:rPr>
        <w:t>1959</w:t>
      </w:r>
      <w:r w:rsidRPr="00812ACF">
        <w:rPr>
          <w:rFonts w:cs="FrankRuehl"/>
          <w:sz w:val="20"/>
          <w:szCs w:val="20"/>
          <w:rtl/>
          <w:lang w:eastAsia="en-US"/>
        </w:rPr>
        <w:t>, כפי שהוסף בחוק המים (תיקון מס 7), תשנ"א-</w:t>
      </w:r>
      <w:r w:rsidRPr="00812ACF">
        <w:rPr>
          <w:rFonts w:cs="FrankRuehl"/>
          <w:sz w:val="20"/>
          <w:szCs w:val="20"/>
          <w:lang w:eastAsia="en-US"/>
        </w:rPr>
        <w:t xml:space="preserve">1991, </w:t>
      </w:r>
      <w:r w:rsidRPr="00812ACF">
        <w:rPr>
          <w:rFonts w:cs="FrankRuehl"/>
          <w:sz w:val="20"/>
          <w:szCs w:val="20"/>
          <w:rtl/>
          <w:lang w:eastAsia="en-US"/>
        </w:rPr>
        <w:t>מדבר על "כל אדם - לגבי עבירה שכתוצאה ממנה נפגע במישרין"; ו"רשות מקומית - לגבי עבירה שנעברה בתחומה</w:t>
      </w:r>
      <w:r w:rsidRPr="00812ACF">
        <w:rPr>
          <w:rFonts w:cs="FrankRuehl"/>
          <w:sz w:val="20"/>
          <w:szCs w:val="20"/>
          <w:lang w:eastAsia="en-US"/>
        </w:rPr>
        <w:t xml:space="preserve">"; </w:t>
      </w:r>
      <w:r w:rsidRPr="00812ACF">
        <w:rPr>
          <w:rFonts w:cs="FrankRuehl"/>
          <w:sz w:val="20"/>
          <w:szCs w:val="20"/>
          <w:rtl/>
          <w:lang w:eastAsia="en-US"/>
        </w:rPr>
        <w:t xml:space="preserve">סעיף </w:t>
      </w:r>
      <w:r w:rsidRPr="00812ACF">
        <w:rPr>
          <w:rFonts w:cs="FrankRuehl"/>
          <w:sz w:val="20"/>
          <w:szCs w:val="20"/>
          <w:lang w:eastAsia="en-US"/>
        </w:rPr>
        <w:t>8</w:t>
      </w:r>
      <w:r w:rsidRPr="00812ACF">
        <w:rPr>
          <w:rFonts w:cs="FrankRuehl"/>
          <w:sz w:val="20"/>
          <w:szCs w:val="20"/>
          <w:rtl/>
          <w:lang w:eastAsia="en-US"/>
        </w:rPr>
        <w:t>ל</w:t>
      </w:r>
      <w:hyperlink r:id="rId53" w:history="1">
        <w:r w:rsidRPr="00812ACF">
          <w:rPr>
            <w:rStyle w:val="Hyperlink"/>
            <w:rFonts w:cs="FrankRuehl"/>
            <w:sz w:val="20"/>
            <w:szCs w:val="20"/>
            <w:rtl/>
            <w:lang w:eastAsia="en-US"/>
          </w:rPr>
          <w:t>חוק איסור לשון הרע</w:t>
        </w:r>
      </w:hyperlink>
      <w:r w:rsidRPr="00812ACF">
        <w:rPr>
          <w:rFonts w:cs="FrankRuehl"/>
          <w:sz w:val="20"/>
          <w:szCs w:val="20"/>
          <w:rtl/>
          <w:lang w:eastAsia="en-US"/>
        </w:rPr>
        <w:t xml:space="preserve"> מדבר על "נפגע"; סעיף </w:t>
      </w:r>
      <w:r w:rsidRPr="00812ACF">
        <w:rPr>
          <w:rFonts w:cs="FrankRuehl"/>
          <w:sz w:val="20"/>
          <w:szCs w:val="20"/>
          <w:lang w:eastAsia="en-US"/>
        </w:rPr>
        <w:t>8</w:t>
      </w:r>
      <w:r w:rsidRPr="00812ACF">
        <w:rPr>
          <w:rFonts w:cs="FrankRuehl"/>
          <w:sz w:val="20"/>
          <w:szCs w:val="20"/>
          <w:rtl/>
          <w:lang w:eastAsia="en-US"/>
        </w:rPr>
        <w:t>ל</w:t>
      </w:r>
      <w:hyperlink r:id="rId54" w:history="1">
        <w:r w:rsidRPr="00812ACF">
          <w:rPr>
            <w:rStyle w:val="Hyperlink"/>
            <w:rFonts w:cs="FrankRuehl"/>
            <w:sz w:val="20"/>
            <w:szCs w:val="20"/>
            <w:rtl/>
            <w:lang w:eastAsia="en-US"/>
          </w:rPr>
          <w:t>חוק מניעת זיהום הים ממקורות יבשתיים</w:t>
        </w:r>
      </w:hyperlink>
      <w:r w:rsidRPr="00812ACF">
        <w:rPr>
          <w:rFonts w:cs="FrankRuehl"/>
          <w:sz w:val="20"/>
          <w:szCs w:val="20"/>
          <w:rtl/>
          <w:lang w:eastAsia="en-US"/>
        </w:rPr>
        <w:t>, תשמ"ח-</w:t>
      </w:r>
      <w:r w:rsidRPr="00812ACF">
        <w:rPr>
          <w:rFonts w:cs="FrankRuehl"/>
          <w:sz w:val="20"/>
          <w:szCs w:val="20"/>
          <w:lang w:eastAsia="en-US"/>
        </w:rPr>
        <w:t xml:space="preserve"> 1988</w:t>
      </w:r>
      <w:r w:rsidRPr="00812ACF">
        <w:rPr>
          <w:rFonts w:cs="FrankRuehl"/>
          <w:sz w:val="20"/>
          <w:szCs w:val="20"/>
          <w:rtl/>
          <w:lang w:eastAsia="en-US"/>
        </w:rPr>
        <w:t>- ב"כל אדם - לגבי עבירה שנעברה ברשות היחיד שלו או</w:t>
      </w:r>
      <w:r w:rsidRPr="00812ACF">
        <w:rPr>
          <w:rFonts w:cs="FrankRuehl"/>
          <w:sz w:val="20"/>
          <w:szCs w:val="20"/>
          <w:lang w:eastAsia="en-US"/>
        </w:rPr>
        <w:t xml:space="preserve"> </w:t>
      </w:r>
      <w:r w:rsidRPr="00812ACF">
        <w:rPr>
          <w:rFonts w:cs="FrankRuehl"/>
          <w:sz w:val="20"/>
          <w:szCs w:val="20"/>
          <w:rtl/>
          <w:lang w:eastAsia="en-US"/>
        </w:rPr>
        <w:t xml:space="preserve">גרמה נזק לנכסיו", ו"רשות מקומית - לגבי עבירה שנעברה בתחומה" ו"כל אחד מהגופים... בהתאם לסעיף </w:t>
      </w:r>
      <w:r w:rsidRPr="00812ACF">
        <w:rPr>
          <w:rFonts w:cs="FrankRuehl"/>
          <w:sz w:val="20"/>
          <w:szCs w:val="20"/>
          <w:lang w:eastAsia="en-US"/>
        </w:rPr>
        <w:t>100</w:t>
      </w:r>
      <w:r w:rsidRPr="00812ACF">
        <w:rPr>
          <w:rFonts w:cs="FrankRuehl"/>
          <w:sz w:val="20"/>
          <w:szCs w:val="20"/>
          <w:rtl/>
          <w:lang w:eastAsia="en-US"/>
        </w:rPr>
        <w:t>(3) ל</w:t>
      </w:r>
      <w:hyperlink r:id="rId55" w:history="1">
        <w:r w:rsidRPr="00812ACF">
          <w:rPr>
            <w:rStyle w:val="Hyperlink"/>
            <w:rFonts w:cs="FrankRuehl"/>
            <w:sz w:val="20"/>
            <w:szCs w:val="20"/>
            <w:rtl/>
            <w:lang w:eastAsia="en-US"/>
          </w:rPr>
          <w:t>חוק התכנון והבניה</w:t>
        </w:r>
      </w:hyperlink>
      <w:r w:rsidRPr="00812ACF">
        <w:rPr>
          <w:rFonts w:cs="FrankRuehl"/>
          <w:sz w:val="20"/>
          <w:szCs w:val="20"/>
          <w:rtl/>
          <w:lang w:eastAsia="en-US"/>
        </w:rPr>
        <w:t xml:space="preserve">, </w:t>
      </w:r>
      <w:proofErr w:type="spellStart"/>
      <w:r w:rsidRPr="00812ACF">
        <w:rPr>
          <w:rFonts w:cs="FrankRuehl"/>
          <w:sz w:val="20"/>
          <w:szCs w:val="20"/>
          <w:rtl/>
          <w:lang w:eastAsia="en-US"/>
        </w:rPr>
        <w:t>התשכ"ה</w:t>
      </w:r>
      <w:proofErr w:type="spellEnd"/>
      <w:r w:rsidRPr="00812ACF">
        <w:rPr>
          <w:rFonts w:cs="FrankRuehl"/>
          <w:sz w:val="20"/>
          <w:szCs w:val="20"/>
          <w:rtl/>
          <w:lang w:eastAsia="en-US"/>
        </w:rPr>
        <w:t>-</w:t>
      </w:r>
      <w:r w:rsidRPr="00812ACF">
        <w:rPr>
          <w:rFonts w:cs="FrankRuehl"/>
          <w:sz w:val="20"/>
          <w:szCs w:val="20"/>
          <w:lang w:eastAsia="en-US"/>
        </w:rPr>
        <w:t>1965</w:t>
      </w:r>
      <w:r w:rsidRPr="00812ACF">
        <w:rPr>
          <w:rFonts w:cs="FrankRuehl"/>
          <w:sz w:val="20"/>
          <w:szCs w:val="20"/>
          <w:rtl/>
          <w:lang w:eastAsia="en-US"/>
        </w:rPr>
        <w:t xml:space="preserve">"; סעיף </w:t>
      </w:r>
      <w:r w:rsidRPr="00812ACF">
        <w:rPr>
          <w:rFonts w:cs="FrankRuehl"/>
          <w:sz w:val="20"/>
          <w:szCs w:val="20"/>
          <w:lang w:eastAsia="en-US"/>
        </w:rPr>
        <w:t>18</w:t>
      </w:r>
      <w:r w:rsidRPr="00812ACF">
        <w:rPr>
          <w:rFonts w:cs="FrankRuehl"/>
          <w:sz w:val="20"/>
          <w:szCs w:val="20"/>
          <w:rtl/>
          <w:lang w:eastAsia="en-US"/>
        </w:rPr>
        <w:t>לחוק הבחירות (דרכי תעמולה) - "גם חבר של ועדת הבחירות המרכזית לכנסת ובא כוח של רשימת מועמדים לכנסת". החוק אינו מחייב אישור של התביעה הכללית שאין לה עניין בנושא הקובלנה, אף לא הסכמתה מראש להגשת הקובלנה, להוציא קובלנה על</w:t>
      </w:r>
      <w:r w:rsidRPr="00812ACF">
        <w:rPr>
          <w:rFonts w:cs="FrankRuehl"/>
          <w:sz w:val="20"/>
          <w:szCs w:val="20"/>
          <w:lang w:eastAsia="en-US"/>
        </w:rPr>
        <w:t xml:space="preserve"> </w:t>
      </w:r>
      <w:r w:rsidRPr="00812ACF">
        <w:rPr>
          <w:rFonts w:cs="FrankRuehl"/>
          <w:sz w:val="20"/>
          <w:szCs w:val="20"/>
          <w:rtl/>
          <w:lang w:eastAsia="en-US"/>
        </w:rPr>
        <w:t>עובד המדינה בשל מעשה שעשה תוך מילוי תפקידו, שאז דרושה הסכמת היועץ המשפטי</w:t>
      </w:r>
      <w:r w:rsidRPr="00812ACF">
        <w:rPr>
          <w:rFonts w:cs="FrankRuehl"/>
          <w:sz w:val="20"/>
          <w:szCs w:val="20"/>
          <w:lang w:eastAsia="en-US"/>
        </w:rPr>
        <w:t xml:space="preserve"> </w:t>
      </w:r>
      <w:r w:rsidRPr="00812ACF">
        <w:rPr>
          <w:rFonts w:cs="FrankRuehl"/>
          <w:sz w:val="20"/>
          <w:szCs w:val="20"/>
          <w:rtl/>
          <w:lang w:eastAsia="en-US"/>
        </w:rPr>
        <w:t xml:space="preserve">לממשלה (סעיף </w:t>
      </w:r>
      <w:r w:rsidRPr="00812ACF">
        <w:rPr>
          <w:rFonts w:cs="FrankRuehl"/>
          <w:sz w:val="20"/>
          <w:szCs w:val="20"/>
          <w:lang w:eastAsia="en-US"/>
        </w:rPr>
        <w:t>69</w:t>
      </w:r>
      <w:r w:rsidRPr="00812ACF">
        <w:rPr>
          <w:rFonts w:cs="FrankRuehl"/>
          <w:sz w:val="20"/>
          <w:szCs w:val="20"/>
          <w:rtl/>
          <w:lang w:eastAsia="en-US"/>
        </w:rPr>
        <w:t xml:space="preserve">). אין להגיש קובלנה נגד קטין שבעת ביצוע העבירה טרם מלאו לו </w:t>
      </w:r>
      <w:r w:rsidRPr="00812ACF">
        <w:rPr>
          <w:rFonts w:cs="FrankRuehl"/>
          <w:sz w:val="20"/>
          <w:szCs w:val="20"/>
          <w:lang w:eastAsia="en-US"/>
        </w:rPr>
        <w:t>14</w:t>
      </w:r>
      <w:r w:rsidRPr="00812ACF">
        <w:rPr>
          <w:rFonts w:cs="FrankRuehl"/>
          <w:sz w:val="20"/>
          <w:szCs w:val="20"/>
          <w:rtl/>
          <w:lang w:eastAsia="en-US"/>
        </w:rPr>
        <w:t xml:space="preserve">שנה. זאת מתוך ההנחה הכללית, שניהול משפט פלילי נגד קטין עלול לגרום לו נזק נפשי ושטובתו דורשת שהעניין יישקל על ידי רשויות המדינה (ראה </w:t>
      </w:r>
      <w:hyperlink r:id="rId56" w:history="1">
        <w:r w:rsidRPr="00812ACF">
          <w:rPr>
            <w:rStyle w:val="Hyperlink"/>
            <w:rFonts w:cs="FrankRuehl"/>
            <w:sz w:val="20"/>
            <w:szCs w:val="20"/>
            <w:rtl/>
            <w:lang w:eastAsia="en-US"/>
          </w:rPr>
          <w:t>חוק הנוער (שפיטה, ענישה ודרכי טיפול)</w:t>
        </w:r>
      </w:hyperlink>
      <w:r w:rsidRPr="00812ACF">
        <w:rPr>
          <w:rFonts w:cs="FrankRuehl"/>
          <w:sz w:val="20"/>
          <w:szCs w:val="20"/>
          <w:rtl/>
          <w:lang w:eastAsia="en-US"/>
        </w:rPr>
        <w:t>, תשל"א-</w:t>
      </w:r>
      <w:r w:rsidRPr="00812ACF">
        <w:rPr>
          <w:rFonts w:cs="FrankRuehl"/>
          <w:sz w:val="20"/>
          <w:szCs w:val="20"/>
          <w:lang w:eastAsia="en-US"/>
        </w:rPr>
        <w:t>1971</w:t>
      </w:r>
      <w:r w:rsidRPr="00812ACF">
        <w:rPr>
          <w:rFonts w:cs="FrankRuehl"/>
          <w:sz w:val="20"/>
          <w:szCs w:val="20"/>
          <w:rtl/>
          <w:lang w:eastAsia="en-US"/>
        </w:rPr>
        <w:t xml:space="preserve">, ודברי ההסבר לסעיף </w:t>
      </w:r>
      <w:r w:rsidRPr="00812ACF">
        <w:rPr>
          <w:rFonts w:cs="FrankRuehl"/>
          <w:sz w:val="20"/>
          <w:szCs w:val="20"/>
          <w:lang w:eastAsia="en-US"/>
        </w:rPr>
        <w:t>15</w:t>
      </w:r>
      <w:r w:rsidRPr="00812ACF">
        <w:rPr>
          <w:rFonts w:cs="FrankRuehl"/>
          <w:sz w:val="20"/>
          <w:szCs w:val="20"/>
          <w:rtl/>
          <w:lang w:eastAsia="en-US"/>
        </w:rPr>
        <w:t>להצעת חוק הנוער (שפיטה, ענישה ודרכי טיפול), תשכ"ט-</w:t>
      </w:r>
      <w:r w:rsidRPr="00812ACF">
        <w:rPr>
          <w:rFonts w:cs="FrankRuehl"/>
          <w:sz w:val="20"/>
          <w:szCs w:val="20"/>
          <w:lang w:eastAsia="en-US"/>
        </w:rPr>
        <w:t>1969</w:t>
      </w:r>
      <w:r w:rsidRPr="00812ACF">
        <w:rPr>
          <w:rFonts w:cs="FrankRuehl"/>
          <w:sz w:val="20"/>
          <w:szCs w:val="20"/>
          <w:rtl/>
          <w:lang w:eastAsia="en-US"/>
        </w:rPr>
        <w:t xml:space="preserve">,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.165</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מבין העבירות המותרות בקובלנה פרטית, כאלה שהן בעלות "אופי פרטי", כמו הסגת גבול, תקיפה סתם, גרימת נזק לרכוש, פגיעה בקניין רוחני ועוד. אך יש ביניהן גם עבירות על חוקי</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 xml:space="preserve">הבחירות: </w:t>
      </w:r>
      <w:hyperlink r:id="rId57" w:history="1">
        <w:r w:rsidRPr="00812ACF">
          <w:rPr>
            <w:rStyle w:val="Hyperlink"/>
            <w:rFonts w:cs="FrankRuehl"/>
            <w:sz w:val="20"/>
            <w:szCs w:val="20"/>
            <w:rtl/>
            <w:lang w:eastAsia="en-US"/>
          </w:rPr>
          <w:t>חוק הבחירות לכנסת</w:t>
        </w:r>
      </w:hyperlink>
      <w:r w:rsidRPr="00812ACF">
        <w:rPr>
          <w:rFonts w:cs="FrankRuehl"/>
          <w:sz w:val="20"/>
          <w:szCs w:val="20"/>
          <w:rtl/>
          <w:lang w:eastAsia="en-US"/>
        </w:rPr>
        <w:t xml:space="preserve"> [נוסח משולב], תשכ"ט</w:t>
      </w:r>
      <w:r w:rsidRPr="00812ACF">
        <w:rPr>
          <w:rFonts w:cs="FrankRuehl"/>
          <w:sz w:val="20"/>
          <w:szCs w:val="20"/>
          <w:lang w:eastAsia="en-US"/>
        </w:rPr>
        <w:t xml:space="preserve">-1969; </w:t>
      </w:r>
      <w:r w:rsidRPr="00812ACF">
        <w:rPr>
          <w:rFonts w:cs="FrankRuehl"/>
          <w:sz w:val="20"/>
          <w:szCs w:val="20"/>
          <w:rtl/>
          <w:lang w:eastAsia="en-US"/>
        </w:rPr>
        <w:t>חוק הבחירות (דרכי</w:t>
      </w:r>
      <w:r w:rsidRPr="00812ACF">
        <w:rPr>
          <w:rFonts w:cs="FrankRuehl"/>
          <w:sz w:val="20"/>
          <w:szCs w:val="20"/>
          <w:lang w:eastAsia="en-US"/>
        </w:rPr>
        <w:t xml:space="preserve"> </w:t>
      </w:r>
      <w:r w:rsidRPr="00812ACF">
        <w:rPr>
          <w:rFonts w:cs="FrankRuehl"/>
          <w:sz w:val="20"/>
          <w:szCs w:val="20"/>
          <w:rtl/>
          <w:lang w:eastAsia="en-US"/>
        </w:rPr>
        <w:t xml:space="preserve">תעמולה) (שהעבירה עליו אינה כלולה בתוספת </w:t>
      </w:r>
      <w:proofErr w:type="spellStart"/>
      <w:r w:rsidRPr="00812ACF">
        <w:rPr>
          <w:rFonts w:cs="FrankRuehl"/>
          <w:sz w:val="20"/>
          <w:szCs w:val="20"/>
          <w:rtl/>
          <w:lang w:eastAsia="en-US"/>
        </w:rPr>
        <w:t>השניה</w:t>
      </w:r>
      <w:proofErr w:type="spellEnd"/>
      <w:r w:rsidRPr="00812ACF">
        <w:rPr>
          <w:rFonts w:cs="FrankRuehl"/>
          <w:sz w:val="20"/>
          <w:szCs w:val="20"/>
          <w:rtl/>
          <w:lang w:eastAsia="en-US"/>
        </w:rPr>
        <w:t xml:space="preserve"> של </w:t>
      </w:r>
      <w:hyperlink r:id="rId58"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xml:space="preserve">, אלא בחוק זה עצמו, והוא מתיר קובלנה רק לחבר ועדת הבחירות המרכזית לכנסת ולבא כוח של רשימת מועמדים לכנסת); </w:t>
      </w:r>
      <w:hyperlink r:id="rId59" w:history="1">
        <w:r w:rsidRPr="00812ACF">
          <w:rPr>
            <w:rStyle w:val="Hyperlink"/>
            <w:rFonts w:cs="FrankRuehl"/>
            <w:sz w:val="20"/>
            <w:szCs w:val="20"/>
            <w:rtl/>
            <w:lang w:eastAsia="en-US"/>
          </w:rPr>
          <w:t>חוק הרשויות המקומיות (בחירות)</w:t>
        </w:r>
      </w:hyperlink>
      <w:r w:rsidRPr="00812ACF">
        <w:rPr>
          <w:rFonts w:cs="FrankRuehl"/>
          <w:sz w:val="20"/>
          <w:szCs w:val="20"/>
          <w:rtl/>
          <w:lang w:eastAsia="en-US"/>
        </w:rPr>
        <w:t xml:space="preserve">, </w:t>
      </w:r>
      <w:proofErr w:type="spellStart"/>
      <w:r w:rsidRPr="00812ACF">
        <w:rPr>
          <w:rFonts w:cs="FrankRuehl"/>
          <w:sz w:val="20"/>
          <w:szCs w:val="20"/>
          <w:rtl/>
          <w:lang w:eastAsia="en-US"/>
        </w:rPr>
        <w:t>תשכ</w:t>
      </w:r>
      <w:proofErr w:type="spellEnd"/>
      <w:r w:rsidRPr="00812ACF">
        <w:rPr>
          <w:rFonts w:cs="FrankRuehl"/>
          <w:sz w:val="20"/>
          <w:szCs w:val="20"/>
          <w:lang w:eastAsia="en-US"/>
        </w:rPr>
        <w:t>"</w:t>
      </w:r>
      <w:r w:rsidRPr="00812ACF">
        <w:rPr>
          <w:rFonts w:cs="FrankRuehl"/>
          <w:sz w:val="20"/>
          <w:szCs w:val="20"/>
          <w:rtl/>
          <w:lang w:eastAsia="en-US"/>
        </w:rPr>
        <w:t>ה-</w:t>
      </w:r>
      <w:r w:rsidRPr="00812ACF">
        <w:rPr>
          <w:rFonts w:cs="FrankRuehl"/>
          <w:sz w:val="20"/>
          <w:szCs w:val="20"/>
          <w:lang w:eastAsia="en-US"/>
        </w:rPr>
        <w:t>1965</w:t>
      </w:r>
      <w:r w:rsidRPr="00812ACF">
        <w:rPr>
          <w:rFonts w:cs="FrankRuehl"/>
          <w:sz w:val="20"/>
          <w:szCs w:val="20"/>
          <w:rtl/>
          <w:lang w:eastAsia="en-US"/>
        </w:rPr>
        <w:t>, ו</w:t>
      </w:r>
      <w:hyperlink r:id="rId60" w:history="1">
        <w:r w:rsidRPr="00812ACF">
          <w:rPr>
            <w:rStyle w:val="Hyperlink"/>
            <w:rFonts w:cs="FrankRuehl"/>
            <w:sz w:val="20"/>
            <w:szCs w:val="20"/>
            <w:rtl/>
            <w:lang w:eastAsia="en-US"/>
          </w:rPr>
          <w:t>חוק בחירות לגופים ציבוריים</w:t>
        </w:r>
      </w:hyperlink>
      <w:r w:rsidRPr="00812ACF">
        <w:rPr>
          <w:rFonts w:cs="FrankRuehl"/>
          <w:sz w:val="20"/>
          <w:szCs w:val="20"/>
          <w:rtl/>
          <w:lang w:eastAsia="en-US"/>
        </w:rPr>
        <w:t>, תשי"ד-</w:t>
      </w:r>
      <w:r w:rsidRPr="00812ACF">
        <w:rPr>
          <w:rFonts w:cs="FrankRuehl"/>
          <w:sz w:val="20"/>
          <w:szCs w:val="20"/>
          <w:lang w:eastAsia="en-US"/>
        </w:rPr>
        <w:t xml:space="preserve"> .1954</w:t>
      </w:r>
      <w:r w:rsidRPr="00812ACF">
        <w:rPr>
          <w:rFonts w:cs="FrankRuehl"/>
          <w:sz w:val="20"/>
          <w:szCs w:val="20"/>
          <w:rtl/>
          <w:lang w:eastAsia="en-US"/>
        </w:rPr>
        <w:t>עבירות על חוקים אלה עניינן ציבורי מובהק, אך הקובלנה הפרטית נמצאה ראויה בחוק, ככל הנראה כדי לא להשאיר את הנושא רק בידי רשויות המדינה, העלולות להיות חשודות בפניות בנושא פוליטי רגיש זה. מאותו טעם כנראה גם לא</w:t>
      </w:r>
      <w:r w:rsidRPr="00812ACF">
        <w:rPr>
          <w:rFonts w:cs="FrankRuehl"/>
          <w:sz w:val="20"/>
          <w:szCs w:val="20"/>
          <w:lang w:eastAsia="en-US"/>
        </w:rPr>
        <w:t xml:space="preserve"> </w:t>
      </w:r>
      <w:r w:rsidRPr="00812ACF">
        <w:rPr>
          <w:rFonts w:cs="FrankRuehl"/>
          <w:sz w:val="20"/>
          <w:szCs w:val="20"/>
          <w:rtl/>
          <w:lang w:eastAsia="en-US"/>
        </w:rPr>
        <w:t xml:space="preserve">ניתנה ליועץ המשפטי סמכות לעכב קובלנה בעבירות על חוקי הבחירות לכנסת (סעיפים </w:t>
      </w:r>
      <w:r w:rsidRPr="00812ACF">
        <w:rPr>
          <w:rFonts w:cs="FrankRuehl"/>
          <w:sz w:val="20"/>
          <w:szCs w:val="20"/>
          <w:lang w:eastAsia="en-US"/>
        </w:rPr>
        <w:t>18</w:t>
      </w:r>
      <w:r w:rsidRPr="00812ACF">
        <w:rPr>
          <w:rFonts w:cs="FrankRuehl"/>
          <w:sz w:val="20"/>
          <w:szCs w:val="20"/>
          <w:rtl/>
          <w:lang w:eastAsia="en-US"/>
        </w:rPr>
        <w:t xml:space="preserve">, </w:t>
      </w:r>
      <w:r w:rsidRPr="00812ACF">
        <w:rPr>
          <w:rFonts w:cs="FrankRuehl"/>
          <w:sz w:val="20"/>
          <w:szCs w:val="20"/>
          <w:lang w:eastAsia="en-US"/>
        </w:rPr>
        <w:t>19</w:t>
      </w:r>
      <w:r w:rsidRPr="00812ACF">
        <w:rPr>
          <w:rFonts w:cs="FrankRuehl"/>
          <w:sz w:val="20"/>
          <w:szCs w:val="20"/>
          <w:rtl/>
          <w:lang w:eastAsia="en-US"/>
        </w:rPr>
        <w:t>ל</w:t>
      </w:r>
      <w:hyperlink r:id="rId61" w:history="1">
        <w:r w:rsidRPr="00812ACF">
          <w:rPr>
            <w:rStyle w:val="Hyperlink"/>
            <w:rFonts w:cs="FrankRuehl"/>
            <w:sz w:val="20"/>
            <w:szCs w:val="20"/>
            <w:rtl/>
            <w:lang w:eastAsia="en-US"/>
          </w:rPr>
          <w:t>חוק הבחירות</w:t>
        </w:r>
      </w:hyperlink>
      <w:r w:rsidRPr="00812ACF">
        <w:rPr>
          <w:rFonts w:cs="FrankRuehl"/>
          <w:sz w:val="20"/>
          <w:szCs w:val="20"/>
          <w:rtl/>
          <w:lang w:eastAsia="en-US"/>
        </w:rPr>
        <w:t xml:space="preserve"> (דרכי תעמולה) וסעיף </w:t>
      </w:r>
      <w:r w:rsidRPr="00812ACF">
        <w:rPr>
          <w:rFonts w:cs="FrankRuehl"/>
          <w:sz w:val="20"/>
          <w:szCs w:val="20"/>
          <w:lang w:eastAsia="en-US"/>
        </w:rPr>
        <w:t>128</w:t>
      </w:r>
      <w:r w:rsidRPr="00812ACF">
        <w:rPr>
          <w:rFonts w:cs="FrankRuehl"/>
          <w:sz w:val="20"/>
          <w:szCs w:val="20"/>
          <w:rtl/>
          <w:lang w:eastAsia="en-US"/>
        </w:rPr>
        <w:t>(2) ל</w:t>
      </w:r>
      <w:hyperlink r:id="rId62" w:history="1">
        <w:r w:rsidRPr="00812ACF">
          <w:rPr>
            <w:rStyle w:val="Hyperlink"/>
            <w:rFonts w:cs="FrankRuehl"/>
            <w:sz w:val="20"/>
            <w:szCs w:val="20"/>
            <w:rtl/>
            <w:lang w:eastAsia="en-US"/>
          </w:rPr>
          <w:t>חוק הבחירות לכנסת</w:t>
        </w:r>
      </w:hyperlink>
      <w:r w:rsidRPr="00812ACF">
        <w:rPr>
          <w:rFonts w:cs="FrankRuehl"/>
          <w:sz w:val="20"/>
          <w:szCs w:val="20"/>
          <w:rtl/>
          <w:lang w:eastAsia="en-US"/>
        </w:rPr>
        <w:t xml:space="preserve"> [נוסח משולב] (וראה גביזון, בספרה הנ"ל</w:t>
      </w:r>
      <w:r w:rsidRPr="00812ACF">
        <w:rPr>
          <w:rFonts w:cs="FrankRuehl"/>
          <w:sz w:val="20"/>
          <w:szCs w:val="20"/>
          <w:lang w:eastAsia="en-US"/>
        </w:rPr>
        <w:t>,</w:t>
      </w:r>
      <w:r w:rsidRPr="00812ACF">
        <w:rPr>
          <w:rFonts w:cs="FrankRuehl"/>
          <w:sz w:val="20"/>
          <w:szCs w:val="20"/>
          <w:rtl/>
          <w:lang w:eastAsia="en-US"/>
        </w:rPr>
        <w:t xml:space="preserve">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304</w:t>
      </w:r>
      <w:r w:rsidRPr="00812ACF">
        <w:rPr>
          <w:rFonts w:cs="FrankRuehl"/>
          <w:sz w:val="20"/>
          <w:szCs w:val="20"/>
          <w:rtl/>
          <w:lang w:eastAsia="en-US"/>
        </w:rPr>
        <w:t xml:space="preserve">). עבירות אחרות בעלות חשיבות ציבורית הן עבירות על </w:t>
      </w:r>
      <w:hyperlink r:id="rId63" w:history="1">
        <w:r w:rsidRPr="00812ACF">
          <w:rPr>
            <w:rStyle w:val="Hyperlink"/>
            <w:rFonts w:cs="FrankRuehl"/>
            <w:sz w:val="20"/>
            <w:szCs w:val="20"/>
            <w:rtl/>
            <w:lang w:eastAsia="en-US"/>
          </w:rPr>
          <w:t>חוק הגנת הפרטיות</w:t>
        </w:r>
      </w:hyperlink>
      <w:r w:rsidRPr="00812ACF">
        <w:rPr>
          <w:rFonts w:cs="FrankRuehl"/>
          <w:sz w:val="20"/>
          <w:szCs w:val="20"/>
          <w:rtl/>
          <w:lang w:eastAsia="en-US"/>
        </w:rPr>
        <w:t>, תשמ"א-</w:t>
      </w:r>
      <w:r w:rsidRPr="00812ACF">
        <w:rPr>
          <w:rFonts w:cs="FrankRuehl"/>
          <w:sz w:val="20"/>
          <w:szCs w:val="20"/>
          <w:lang w:eastAsia="en-US"/>
        </w:rPr>
        <w:t>1981</w:t>
      </w:r>
      <w:r w:rsidRPr="00812ACF">
        <w:rPr>
          <w:rFonts w:cs="FrankRuehl"/>
          <w:sz w:val="20"/>
          <w:szCs w:val="20"/>
          <w:rtl/>
          <w:lang w:eastAsia="en-US"/>
        </w:rPr>
        <w:t>, וכן עבירות הנוגעות לאיכות הסביבה, כמו ה</w:t>
      </w:r>
      <w:hyperlink r:id="rId64" w:history="1">
        <w:r w:rsidRPr="00812ACF">
          <w:rPr>
            <w:rStyle w:val="Hyperlink"/>
            <w:rFonts w:cs="FrankRuehl"/>
            <w:sz w:val="20"/>
            <w:szCs w:val="20"/>
            <w:rtl/>
            <w:lang w:eastAsia="en-US"/>
          </w:rPr>
          <w:t>חוק למניעת מפגעים</w:t>
        </w:r>
      </w:hyperlink>
      <w:r w:rsidRPr="00812ACF">
        <w:rPr>
          <w:rFonts w:cs="FrankRuehl"/>
          <w:sz w:val="20"/>
          <w:szCs w:val="20"/>
          <w:rtl/>
          <w:lang w:eastAsia="en-US"/>
        </w:rPr>
        <w:t>, תשכ"א-</w:t>
      </w:r>
      <w:r w:rsidRPr="00812ACF">
        <w:rPr>
          <w:rFonts w:cs="FrankRuehl"/>
          <w:sz w:val="20"/>
          <w:szCs w:val="20"/>
          <w:lang w:eastAsia="en-US"/>
        </w:rPr>
        <w:t>1961</w:t>
      </w:r>
      <w:r w:rsidRPr="00812ACF">
        <w:rPr>
          <w:rFonts w:cs="FrankRuehl"/>
          <w:sz w:val="20"/>
          <w:szCs w:val="20"/>
          <w:rtl/>
          <w:lang w:eastAsia="en-US"/>
        </w:rPr>
        <w:t xml:space="preserve">; חוק לשמירת </w:t>
      </w:r>
      <w:proofErr w:type="spellStart"/>
      <w:r w:rsidRPr="00812ACF">
        <w:rPr>
          <w:rFonts w:cs="FrankRuehl"/>
          <w:sz w:val="20"/>
          <w:szCs w:val="20"/>
          <w:rtl/>
          <w:lang w:eastAsia="en-US"/>
        </w:rPr>
        <w:t>הנקיון</w:t>
      </w:r>
      <w:proofErr w:type="spellEnd"/>
      <w:r w:rsidRPr="00812ACF">
        <w:rPr>
          <w:rFonts w:cs="FrankRuehl"/>
          <w:sz w:val="20"/>
          <w:szCs w:val="20"/>
          <w:rtl/>
          <w:lang w:eastAsia="en-US"/>
        </w:rPr>
        <w:t xml:space="preserve">; </w:t>
      </w:r>
      <w:hyperlink r:id="rId65" w:history="1">
        <w:r w:rsidRPr="00812ACF">
          <w:rPr>
            <w:rStyle w:val="Hyperlink"/>
            <w:rFonts w:cs="FrankRuehl"/>
            <w:sz w:val="20"/>
            <w:szCs w:val="20"/>
            <w:rtl/>
            <w:lang w:eastAsia="en-US"/>
          </w:rPr>
          <w:t>חוק מניעת זיהום הים ממקורות יבשתיים</w:t>
        </w:r>
      </w:hyperlink>
      <w:r w:rsidRPr="00812ACF">
        <w:rPr>
          <w:rFonts w:cs="FrankRuehl"/>
          <w:sz w:val="20"/>
          <w:szCs w:val="20"/>
          <w:rtl/>
          <w:lang w:eastAsia="en-US"/>
        </w:rPr>
        <w:t xml:space="preserve"> (בסייגים שבסעיף </w:t>
      </w:r>
      <w:r w:rsidRPr="00812ACF">
        <w:rPr>
          <w:rFonts w:cs="FrankRuehl"/>
          <w:sz w:val="20"/>
          <w:szCs w:val="20"/>
          <w:lang w:eastAsia="en-US"/>
        </w:rPr>
        <w:t>8</w:t>
      </w:r>
      <w:r w:rsidRPr="00812ACF">
        <w:rPr>
          <w:rFonts w:cs="FrankRuehl"/>
          <w:sz w:val="20"/>
          <w:szCs w:val="20"/>
          <w:rtl/>
          <w:lang w:eastAsia="en-US"/>
        </w:rPr>
        <w:t xml:space="preserve">שלו); </w:t>
      </w:r>
      <w:hyperlink r:id="rId66" w:history="1">
        <w:r w:rsidRPr="00812ACF">
          <w:rPr>
            <w:rStyle w:val="Hyperlink"/>
            <w:rFonts w:cs="FrankRuehl"/>
            <w:sz w:val="20"/>
            <w:szCs w:val="20"/>
            <w:rtl/>
            <w:lang w:eastAsia="en-US"/>
          </w:rPr>
          <w:t>חוק המים</w:t>
        </w:r>
      </w:hyperlink>
      <w:r w:rsidRPr="00812ACF">
        <w:rPr>
          <w:rFonts w:cs="FrankRuehl"/>
          <w:sz w:val="20"/>
          <w:szCs w:val="20"/>
          <w:rtl/>
          <w:lang w:eastAsia="en-US"/>
        </w:rPr>
        <w:t>, סימן א</w:t>
      </w:r>
      <w:r w:rsidRPr="00812ACF">
        <w:rPr>
          <w:rFonts w:cs="FrankRuehl"/>
          <w:sz w:val="20"/>
          <w:szCs w:val="20"/>
          <w:lang w:eastAsia="en-US"/>
        </w:rPr>
        <w:t xml:space="preserve"> 1</w:t>
      </w:r>
      <w:r w:rsidRPr="00812ACF">
        <w:rPr>
          <w:rFonts w:cs="FrankRuehl"/>
          <w:sz w:val="20"/>
          <w:szCs w:val="20"/>
          <w:rtl/>
          <w:lang w:eastAsia="en-US"/>
        </w:rPr>
        <w:t>(לפיו הזכות לקובלנה הפרטית נתונה</w:t>
      </w:r>
      <w:r w:rsidRPr="00812ACF">
        <w:rPr>
          <w:rFonts w:cs="FrankRuehl"/>
          <w:sz w:val="20"/>
          <w:szCs w:val="20"/>
          <w:lang w:eastAsia="en-US"/>
        </w:rPr>
        <w:t xml:space="preserve"> </w:t>
      </w:r>
      <w:r w:rsidRPr="00812ACF">
        <w:rPr>
          <w:rFonts w:cs="FrankRuehl"/>
          <w:sz w:val="20"/>
          <w:szCs w:val="20"/>
          <w:rtl/>
          <w:lang w:eastAsia="en-US"/>
        </w:rPr>
        <w:t>רק לנפגע ולרשות המקומית) - אלה ככל הנראה בשל ההנחה שלקובל הפרטי יש מניע חזק יותר להשליט את הוראות החוקים הללו מאשר לרשויות. ראה דברי ההסבר</w:t>
      </w:r>
      <w:r w:rsidRPr="00812ACF">
        <w:rPr>
          <w:rFonts w:cs="FrankRuehl"/>
          <w:sz w:val="20"/>
          <w:szCs w:val="20"/>
          <w:lang w:eastAsia="en-US"/>
        </w:rPr>
        <w:t xml:space="preserve"> </w:t>
      </w:r>
      <w:r w:rsidRPr="00812ACF">
        <w:rPr>
          <w:rFonts w:cs="FrankRuehl"/>
          <w:sz w:val="20"/>
          <w:szCs w:val="20"/>
          <w:rtl/>
          <w:lang w:eastAsia="en-US"/>
        </w:rPr>
        <w:t>ל</w:t>
      </w:r>
      <w:hyperlink r:id="rId67" w:history="1">
        <w:r w:rsidRPr="00812ACF">
          <w:rPr>
            <w:rStyle w:val="Hyperlink"/>
            <w:rFonts w:cs="FrankRuehl"/>
            <w:sz w:val="20"/>
            <w:szCs w:val="20"/>
            <w:rtl/>
            <w:lang w:eastAsia="en-US"/>
          </w:rPr>
          <w:t>חוק המים</w:t>
        </w:r>
      </w:hyperlink>
      <w:r w:rsidRPr="00812ACF">
        <w:rPr>
          <w:rFonts w:cs="FrankRuehl"/>
          <w:sz w:val="20"/>
          <w:szCs w:val="20"/>
          <w:rtl/>
          <w:lang w:eastAsia="en-US"/>
        </w:rPr>
        <w:t xml:space="preserve"> (תיקון מס 7), בהצעת חוק המים (תיקון מס' 7), תשנ"א-</w:t>
      </w:r>
      <w:r w:rsidRPr="00812ACF">
        <w:rPr>
          <w:rFonts w:cs="FrankRuehl"/>
          <w:sz w:val="20"/>
          <w:szCs w:val="20"/>
          <w:lang w:eastAsia="en-US"/>
        </w:rPr>
        <w:t>1991</w:t>
      </w:r>
      <w:r w:rsidRPr="00812ACF">
        <w:rPr>
          <w:rFonts w:cs="FrankRuehl"/>
          <w:sz w:val="20"/>
          <w:szCs w:val="20"/>
          <w:rtl/>
          <w:lang w:eastAsia="en-US"/>
        </w:rPr>
        <w:t xml:space="preserve">, </w:t>
      </w:r>
      <w:proofErr w:type="spellStart"/>
      <w:r w:rsidRPr="00812ACF">
        <w:rPr>
          <w:rFonts w:cs="FrankRuehl"/>
          <w:sz w:val="20"/>
          <w:szCs w:val="20"/>
          <w:rtl/>
          <w:lang w:eastAsia="en-US"/>
        </w:rPr>
        <w:t>בעמ</w:t>
      </w:r>
      <w:proofErr w:type="spellEnd"/>
      <w:r w:rsidRPr="00812ACF">
        <w:rPr>
          <w:rFonts w:cs="FrankRuehl"/>
          <w:sz w:val="20"/>
          <w:szCs w:val="20"/>
          <w:lang w:eastAsia="en-US"/>
        </w:rPr>
        <w:t>'</w:t>
      </w:r>
      <w:r w:rsidRPr="00812ACF">
        <w:rPr>
          <w:rFonts w:cs="FrankRuehl"/>
          <w:sz w:val="20"/>
          <w:szCs w:val="20"/>
          <w:rtl/>
          <w:lang w:eastAsia="en-US"/>
        </w:rPr>
        <w:t xml:space="preserve"> </w:t>
      </w:r>
      <w:r w:rsidRPr="00812ACF">
        <w:rPr>
          <w:rFonts w:cs="FrankRuehl"/>
          <w:sz w:val="20"/>
          <w:szCs w:val="20"/>
          <w:lang w:eastAsia="en-US"/>
        </w:rPr>
        <w:t>122:</w:t>
      </w:r>
    </w:p>
    <w:p w:rsidR="00812ACF" w:rsidRPr="00812ACF" w:rsidRDefault="00812ACF" w:rsidP="00812ACF">
      <w:pPr>
        <w:tabs>
          <w:tab w:val="left" w:pos="288"/>
          <w:tab w:val="left" w:pos="720"/>
          <w:tab w:val="left" w:pos="1296"/>
        </w:tabs>
        <w:spacing w:after="80" w:line="260" w:lineRule="exact"/>
        <w:ind w:left="567" w:right="567"/>
        <w:rPr>
          <w:rFonts w:cs="FrankRuehl"/>
          <w:sz w:val="20"/>
          <w:szCs w:val="20"/>
          <w:rtl/>
          <w:lang w:eastAsia="en-US"/>
        </w:rPr>
      </w:pPr>
      <w:r w:rsidRPr="00812ACF">
        <w:rPr>
          <w:rFonts w:cs="FrankRuehl"/>
          <w:sz w:val="20"/>
          <w:szCs w:val="20"/>
          <w:lang w:eastAsia="en-US"/>
        </w:rPr>
        <w:t>"...</w:t>
      </w:r>
      <w:r w:rsidRPr="00812ACF">
        <w:rPr>
          <w:rFonts w:cs="FrankRuehl"/>
          <w:sz w:val="20"/>
          <w:szCs w:val="20"/>
          <w:rtl/>
          <w:lang w:eastAsia="en-US"/>
        </w:rPr>
        <w:t>לשם קידום והגנת אכיפת החוק מוצע לאפשר הגשת קובלנה - לאדם שנפגע במישרין מביצוע עבירה לפי סימן א</w:t>
      </w:r>
      <w:r w:rsidRPr="00812ACF">
        <w:rPr>
          <w:rFonts w:cs="FrankRuehl"/>
          <w:sz w:val="20"/>
          <w:szCs w:val="20"/>
          <w:lang w:eastAsia="en-US"/>
        </w:rPr>
        <w:t xml:space="preserve"> 1</w:t>
      </w:r>
      <w:r w:rsidRPr="00812ACF">
        <w:rPr>
          <w:rFonts w:cs="FrankRuehl"/>
          <w:sz w:val="20"/>
          <w:szCs w:val="20"/>
          <w:rtl/>
          <w:lang w:eastAsia="en-US"/>
        </w:rPr>
        <w:t>לחוק (העוסק במניעת זיהום מים - ש' נ'), או לרשות מקומית שבתחומה נעברה עבירה...</w:t>
      </w:r>
      <w:proofErr w:type="gramStart"/>
      <w:r w:rsidRPr="00812ACF">
        <w:rPr>
          <w:rFonts w:cs="FrankRuehl"/>
          <w:sz w:val="20"/>
          <w:szCs w:val="20"/>
          <w:rtl/>
          <w:lang w:eastAsia="en-US"/>
        </w:rPr>
        <w:t>".</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זה היקפה של הקובלנה הפרטית אצלנו. הוראות החוק הנוגעות לכתב אישום חלות</w:t>
      </w:r>
      <w:r w:rsidRPr="00812ACF">
        <w:rPr>
          <w:rFonts w:cs="FrankRuehl"/>
          <w:sz w:val="20"/>
          <w:szCs w:val="20"/>
          <w:lang w:eastAsia="en-US"/>
        </w:rPr>
        <w:t xml:space="preserve"> </w:t>
      </w:r>
      <w:r w:rsidRPr="00812ACF">
        <w:rPr>
          <w:rFonts w:cs="FrankRuehl"/>
          <w:sz w:val="20"/>
          <w:szCs w:val="20"/>
          <w:rtl/>
          <w:lang w:eastAsia="en-US"/>
        </w:rPr>
        <w:t xml:space="preserve">עליה, כאמור בסעיף </w:t>
      </w:r>
      <w:r w:rsidRPr="00812ACF">
        <w:rPr>
          <w:rFonts w:cs="FrankRuehl"/>
          <w:sz w:val="20"/>
          <w:szCs w:val="20"/>
          <w:lang w:eastAsia="en-US"/>
        </w:rPr>
        <w:t>70</w:t>
      </w:r>
      <w:r w:rsidRPr="00812ACF">
        <w:rPr>
          <w:rFonts w:cs="FrankRuehl"/>
          <w:sz w:val="20"/>
          <w:szCs w:val="20"/>
          <w:rtl/>
          <w:lang w:eastAsia="en-US"/>
        </w:rPr>
        <w:t>לחוק, בכפוף לשינויים לפי העניין, והקובל דינו כתובע,</w:t>
      </w:r>
      <w:r w:rsidRPr="00812ACF">
        <w:rPr>
          <w:rFonts w:cs="FrankRuehl"/>
          <w:sz w:val="20"/>
          <w:szCs w:val="20"/>
          <w:lang w:eastAsia="en-US"/>
        </w:rPr>
        <w:t xml:space="preserve"> </w:t>
      </w:r>
      <w:r w:rsidRPr="00812ACF">
        <w:rPr>
          <w:rFonts w:cs="FrankRuehl"/>
          <w:sz w:val="20"/>
          <w:szCs w:val="20"/>
          <w:rtl/>
          <w:lang w:eastAsia="en-US"/>
        </w:rPr>
        <w:t>באין כוונה אחרת משתמעת. על בית המשפט להודיע על הגשת הקובלנה לפרקליט המחוז</w:t>
      </w:r>
      <w:r w:rsidRPr="00812ACF">
        <w:rPr>
          <w:rFonts w:cs="FrankRuehl"/>
          <w:sz w:val="20"/>
          <w:szCs w:val="20"/>
          <w:lang w:eastAsia="en-US"/>
        </w:rPr>
        <w:t xml:space="preserve">, </w:t>
      </w:r>
      <w:r w:rsidRPr="00812ACF">
        <w:rPr>
          <w:rFonts w:cs="FrankRuehl"/>
          <w:sz w:val="20"/>
          <w:szCs w:val="20"/>
          <w:rtl/>
          <w:lang w:eastAsia="en-US"/>
        </w:rPr>
        <w:t xml:space="preserve">אך התביעה מתנהלת על ידי הקובל או בא כוחו, אלא אם פרקליט המחוז מודיע, תוך </w:t>
      </w:r>
      <w:r w:rsidRPr="00812ACF">
        <w:rPr>
          <w:rFonts w:cs="FrankRuehl"/>
          <w:sz w:val="20"/>
          <w:szCs w:val="20"/>
          <w:lang w:eastAsia="en-US"/>
        </w:rPr>
        <w:t>15</w:t>
      </w:r>
      <w:r w:rsidRPr="00812ACF">
        <w:rPr>
          <w:rFonts w:cs="FrankRuehl"/>
          <w:sz w:val="20"/>
          <w:szCs w:val="20"/>
          <w:rtl/>
          <w:lang w:eastAsia="en-US"/>
        </w:rPr>
        <w:t xml:space="preserve">יום מקבלת ההודעה, שפרקליט מפרקליטות המדינה ינהל אותה (סעיף </w:t>
      </w:r>
      <w:r w:rsidRPr="00812ACF">
        <w:rPr>
          <w:rFonts w:cs="FrankRuehl"/>
          <w:sz w:val="20"/>
          <w:szCs w:val="20"/>
          <w:lang w:eastAsia="en-US"/>
        </w:rPr>
        <w:t>71</w:t>
      </w:r>
      <w:r w:rsidRPr="00812ACF">
        <w:rPr>
          <w:rFonts w:cs="FrankRuehl"/>
          <w:sz w:val="20"/>
          <w:szCs w:val="20"/>
          <w:rtl/>
          <w:lang w:eastAsia="en-US"/>
        </w:rPr>
        <w:t xml:space="preserve">). במקרה כזה תוחלף הקובלנה בכתב אישום מטעם תובע (סעיף </w:t>
      </w:r>
      <w:r w:rsidRPr="00812ACF">
        <w:rPr>
          <w:rFonts w:cs="FrankRuehl"/>
          <w:sz w:val="20"/>
          <w:szCs w:val="20"/>
          <w:lang w:eastAsia="en-US"/>
        </w:rPr>
        <w:t>72</w:t>
      </w:r>
      <w:r w:rsidRPr="00812ACF">
        <w:rPr>
          <w:rFonts w:cs="FrankRuehl"/>
          <w:sz w:val="20"/>
          <w:szCs w:val="20"/>
          <w:rtl/>
          <w:lang w:eastAsia="en-US"/>
        </w:rPr>
        <w:t>). תיקון חשוב לחוק, שמטרתו למנוע ניהול בלתי יעיל או טורדני של קובלנה, הובא בחוק סדר הדין הפלילי (תיקון מס 4), תשל"ה-</w:t>
      </w:r>
      <w:r w:rsidRPr="00812ACF">
        <w:rPr>
          <w:rFonts w:cs="FrankRuehl"/>
          <w:sz w:val="20"/>
          <w:szCs w:val="20"/>
          <w:lang w:eastAsia="en-US"/>
        </w:rPr>
        <w:t>1974</w:t>
      </w:r>
      <w:r w:rsidRPr="00812ACF">
        <w:rPr>
          <w:rFonts w:cs="FrankRuehl"/>
          <w:sz w:val="20"/>
          <w:szCs w:val="20"/>
          <w:rtl/>
          <w:lang w:eastAsia="en-US"/>
        </w:rPr>
        <w:t xml:space="preserve">, המקנה לבית המשפט רשות להפסיק את הדיון על מנת שהקובל ימנה לו עורך דין, שאם לא יעשה כן יראו אותו כאילו לא התייצב (סעיף </w:t>
      </w:r>
      <w:r w:rsidRPr="00812ACF">
        <w:rPr>
          <w:rFonts w:cs="FrankRuehl"/>
          <w:sz w:val="20"/>
          <w:szCs w:val="20"/>
          <w:lang w:eastAsia="en-US"/>
        </w:rPr>
        <w:t>73</w:t>
      </w:r>
      <w:r w:rsidRPr="00812ACF">
        <w:rPr>
          <w:rFonts w:cs="FrankRuehl"/>
          <w:sz w:val="20"/>
          <w:szCs w:val="20"/>
          <w:rtl/>
          <w:lang w:eastAsia="en-US"/>
        </w:rPr>
        <w:t xml:space="preserve">לחוק), והתוצאה תהיה ביטול הקובלנה או זיכוי הנאשם (סעיפים </w:t>
      </w:r>
      <w:r w:rsidRPr="00812ACF">
        <w:rPr>
          <w:rFonts w:cs="FrankRuehl"/>
          <w:sz w:val="20"/>
          <w:szCs w:val="20"/>
          <w:lang w:eastAsia="en-US"/>
        </w:rPr>
        <w:t>133</w:t>
      </w:r>
      <w:r w:rsidRPr="00812ACF">
        <w:rPr>
          <w:rFonts w:cs="FrankRuehl"/>
          <w:sz w:val="20"/>
          <w:szCs w:val="20"/>
          <w:rtl/>
          <w:lang w:eastAsia="en-US"/>
        </w:rPr>
        <w:t xml:space="preserve">ו- </w:t>
      </w:r>
      <w:r w:rsidRPr="00812ACF">
        <w:rPr>
          <w:rFonts w:cs="FrankRuehl"/>
          <w:sz w:val="20"/>
          <w:szCs w:val="20"/>
          <w:lang w:eastAsia="en-US"/>
        </w:rPr>
        <w:t>94</w:t>
      </w:r>
      <w:r w:rsidRPr="00812ACF">
        <w:rPr>
          <w:rFonts w:cs="FrankRuehl"/>
          <w:sz w:val="20"/>
          <w:szCs w:val="20"/>
          <w:rtl/>
          <w:lang w:eastAsia="en-US"/>
        </w:rPr>
        <w:t>לחוק).</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lang w:eastAsia="en-US"/>
        </w:rPr>
        <w:t xml:space="preserve"> </w:t>
      </w:r>
      <w:proofErr w:type="gramStart"/>
      <w:r w:rsidRPr="00812ACF">
        <w:rPr>
          <w:rFonts w:cs="FrankRuehl"/>
          <w:sz w:val="20"/>
          <w:szCs w:val="20"/>
          <w:lang w:eastAsia="en-US"/>
        </w:rPr>
        <w:t>.6</w:t>
      </w:r>
      <w:r w:rsidRPr="00812ACF">
        <w:rPr>
          <w:rFonts w:cs="FrankRuehl"/>
          <w:sz w:val="20"/>
          <w:szCs w:val="20"/>
          <w:rtl/>
          <w:lang w:eastAsia="en-US"/>
        </w:rPr>
        <w:t>הקובלנה הפרטית רואה את עניינו של המתלונן, שהוא בדרך כלל הקורבן</w:t>
      </w:r>
      <w:r w:rsidRPr="00812ACF">
        <w:rPr>
          <w:rFonts w:cs="FrankRuehl"/>
          <w:sz w:val="20"/>
          <w:szCs w:val="20"/>
          <w:lang w:eastAsia="en-US"/>
        </w:rPr>
        <w:t>.</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כאמור בדברי ההסבר להצעת חוק סדר הדין הפלילי, תשכ"ג-</w:t>
      </w:r>
      <w:r w:rsidRPr="00812ACF">
        <w:rPr>
          <w:rFonts w:cs="FrankRuehl"/>
          <w:sz w:val="20"/>
          <w:szCs w:val="20"/>
          <w:lang w:eastAsia="en-US"/>
        </w:rPr>
        <w:t>1963</w:t>
      </w:r>
      <w:r w:rsidRPr="00812ACF">
        <w:rPr>
          <w:rFonts w:cs="FrankRuehl"/>
          <w:sz w:val="20"/>
          <w:szCs w:val="20"/>
          <w:rtl/>
          <w:lang w:eastAsia="en-US"/>
        </w:rPr>
        <w:t xml:space="preserve">,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191:</w:t>
      </w:r>
    </w:p>
    <w:p w:rsidR="00812ACF" w:rsidRPr="00812ACF" w:rsidRDefault="00812ACF" w:rsidP="00812ACF">
      <w:pPr>
        <w:tabs>
          <w:tab w:val="left" w:pos="288"/>
          <w:tab w:val="left" w:pos="720"/>
          <w:tab w:val="left" w:pos="1296"/>
        </w:tabs>
        <w:spacing w:after="80" w:line="260" w:lineRule="exact"/>
        <w:ind w:left="567" w:right="567"/>
        <w:rPr>
          <w:rFonts w:cs="FrankRuehl"/>
          <w:sz w:val="20"/>
          <w:szCs w:val="20"/>
          <w:rtl/>
          <w:lang w:eastAsia="en-US"/>
        </w:rPr>
      </w:pPr>
      <w:r w:rsidRPr="00812ACF">
        <w:rPr>
          <w:rFonts w:cs="FrankRuehl"/>
          <w:sz w:val="20"/>
          <w:szCs w:val="20"/>
          <w:lang w:eastAsia="en-US"/>
        </w:rPr>
        <w:t>"...</w:t>
      </w:r>
      <w:r w:rsidRPr="00812ACF">
        <w:rPr>
          <w:rFonts w:cs="FrankRuehl"/>
          <w:sz w:val="20"/>
          <w:szCs w:val="20"/>
          <w:rtl/>
          <w:lang w:eastAsia="en-US"/>
        </w:rPr>
        <w:t xml:space="preserve">התובע את הדין הפלילי היא המדינה, באמצעות מוסדותיה. אך יש מקרים שבהם נפגע הפרט ממעשה העבירה הפלילית, וראוי להניח לו לתבוע את עלבונו. כאשר מטבע </w:t>
      </w:r>
      <w:proofErr w:type="spellStart"/>
      <w:r w:rsidRPr="00812ACF">
        <w:rPr>
          <w:rFonts w:cs="FrankRuehl"/>
          <w:sz w:val="20"/>
          <w:szCs w:val="20"/>
          <w:rtl/>
          <w:lang w:eastAsia="en-US"/>
        </w:rPr>
        <w:t>הענין</w:t>
      </w:r>
      <w:proofErr w:type="spellEnd"/>
      <w:r w:rsidRPr="00812ACF">
        <w:rPr>
          <w:rFonts w:cs="FrankRuehl"/>
          <w:sz w:val="20"/>
          <w:szCs w:val="20"/>
          <w:rtl/>
          <w:lang w:eastAsia="en-US"/>
        </w:rPr>
        <w:t xml:space="preserve"> העבירה פוגעת בפרט, והמדינה אינה נוטלת יזמה לתבוע את הפוגע לדין, יכול, </w:t>
      </w:r>
      <w:proofErr w:type="spellStart"/>
      <w:r w:rsidRPr="00812ACF">
        <w:rPr>
          <w:rFonts w:cs="FrankRuehl"/>
          <w:sz w:val="20"/>
          <w:szCs w:val="20"/>
          <w:rtl/>
          <w:lang w:eastAsia="en-US"/>
        </w:rPr>
        <w:t>איפוא</w:t>
      </w:r>
      <w:proofErr w:type="spellEnd"/>
      <w:r w:rsidRPr="00812ACF">
        <w:rPr>
          <w:rFonts w:cs="FrankRuehl"/>
          <w:sz w:val="20"/>
          <w:szCs w:val="20"/>
          <w:rtl/>
          <w:lang w:eastAsia="en-US"/>
        </w:rPr>
        <w:t>, האזרח להאשים את העבריין, בהגשת קובלנה לבית המשפט...".</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 xml:space="preserve">אך כנגד זאת מכבידה הקובלנה הפרטית עם הנאשם. היא מוגשת מבלי שהקובל חייב להגיש תחילה תלונה בגינה ומבלי שחייבת היא לעבור תחילה חקירה משטרתית מסודרת ובדיקת מצב הראיות בידי התביעה. לא חלה על הקובל החובה שבסעיף </w:t>
      </w:r>
      <w:r w:rsidRPr="00812ACF">
        <w:rPr>
          <w:rFonts w:cs="FrankRuehl"/>
          <w:sz w:val="20"/>
          <w:szCs w:val="20"/>
          <w:lang w:eastAsia="en-US"/>
        </w:rPr>
        <w:t>74</w:t>
      </w:r>
      <w:r w:rsidRPr="00812ACF">
        <w:rPr>
          <w:rFonts w:cs="FrankRuehl"/>
          <w:sz w:val="20"/>
          <w:szCs w:val="20"/>
          <w:rtl/>
          <w:lang w:eastAsia="en-US"/>
        </w:rPr>
        <w:t xml:space="preserve">לחוק להעמיד לעיון הנאשם את כל חומר החקירה שב ידיו. עליו חלה רק מגבלה על הגשת ראיה בכתב שהייתה בידיו, אלא אם המציא לנאשם העתק ממנה (סעיף </w:t>
      </w:r>
      <w:r w:rsidRPr="00812ACF">
        <w:rPr>
          <w:rFonts w:cs="FrankRuehl"/>
          <w:sz w:val="20"/>
          <w:szCs w:val="20"/>
          <w:lang w:eastAsia="en-US"/>
        </w:rPr>
        <w:t>79</w:t>
      </w:r>
      <w:r w:rsidRPr="00812ACF">
        <w:rPr>
          <w:rFonts w:cs="FrankRuehl"/>
          <w:sz w:val="20"/>
          <w:szCs w:val="20"/>
          <w:rtl/>
          <w:lang w:eastAsia="en-US"/>
        </w:rPr>
        <w:t xml:space="preserve">). קיים חשש לקובלנה חסרת יסוד מספיק בעובדות. קיים חשש שהקובל מונע מרגשי נקם או מעוניין להציק לנאשם או להטרידו. יש בקובלנות גם בזבוז זמן יקר של בית המשפט, בייחוד באותם מקרים שהקובל אינו מיוצג על ידי עורך דין ואינו יודע איך לנהל את הדיון. טענות קשות כאלה ואחרות נמנו על ידי השופטת ה' בן-עתו במאמרה "הקובלנה הפרטית" הפרקליט כה (תשכ"ט) </w:t>
      </w:r>
      <w:r w:rsidRPr="00812ACF">
        <w:rPr>
          <w:rFonts w:cs="FrankRuehl"/>
          <w:sz w:val="20"/>
          <w:szCs w:val="20"/>
          <w:lang w:eastAsia="en-US"/>
        </w:rPr>
        <w:t>.521</w:t>
      </w:r>
      <w:r w:rsidRPr="00812ACF">
        <w:rPr>
          <w:rFonts w:cs="FrankRuehl"/>
          <w:sz w:val="20"/>
          <w:szCs w:val="20"/>
          <w:rtl/>
          <w:lang w:eastAsia="en-US"/>
        </w:rPr>
        <w:t>יש גם זלזול מסוים בחשיבותה של הקובלנה הפרטית, שהרי היא לא נמצאה ראויה בעיני התביעה להגישה ואף לא, משהוגשה, ליטול את הניהול שלה לידי התביעה.</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טענות כאלה הועלו גם לפנינו הן מטעם המבקש והן מטעם המדינה</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.7</w:t>
      </w:r>
      <w:r w:rsidRPr="00812ACF">
        <w:rPr>
          <w:rFonts w:cs="FrankRuehl"/>
          <w:sz w:val="20"/>
          <w:szCs w:val="20"/>
          <w:rtl/>
          <w:lang w:eastAsia="en-US"/>
        </w:rPr>
        <w:t>אכן, מוסד הקובלנה הפרטית שנוי הוא במחלוקת.</w:t>
      </w:r>
      <w:proofErr w:type="gramEnd"/>
      <w:r w:rsidRPr="00812ACF">
        <w:rPr>
          <w:rFonts w:cs="FrankRuehl"/>
          <w:sz w:val="20"/>
          <w:szCs w:val="20"/>
          <w:rtl/>
          <w:lang w:eastAsia="en-US"/>
        </w:rPr>
        <w:t xml:space="preserve"> לצד הערובה שהוא נותן בידי הקובל כנגד אי מימוש תלונתו נגד הנאשם בכתב אישום מידי המדינה, אין הוא נותן בידי הנאשם אותן ערובות הקיימות לו בדיון על פי כתב אישום. להבדיל מהליכים הננקטים בידי התביעה, ההחלטה להגיש קובלנה פרטית היא החלטתו של הקובל, שהוא בדרך כלל הקורבן, ללא חובת חקירה ובדיקה מוקדמת של הראיות בידי רשויות המדינה. מניעיו של הקובל עלולים להיות פסולים, והוא אינו כפוף לביקורת כלשהי.</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אך המחוקק שלנו בחר לאמץ את הקובלנה הפרטית כחלק משיטתנו. היא רצויה בעיניו, בגבולות שקבע לה. אישור נוסף לכך הוא תגובתו לביקורת שנמתחה על הקובלנה הפרטית במאמרה הנ"ל של השופטת בן-עתו - תיקון ההליך - על ידי הוספת סעיף </w:t>
      </w:r>
      <w:r w:rsidRPr="00812ACF">
        <w:rPr>
          <w:rFonts w:cs="FrankRuehl"/>
          <w:sz w:val="20"/>
          <w:szCs w:val="20"/>
          <w:lang w:eastAsia="en-US"/>
        </w:rPr>
        <w:t>73</w:t>
      </w:r>
      <w:r w:rsidRPr="00812ACF">
        <w:rPr>
          <w:rFonts w:cs="FrankRuehl"/>
          <w:sz w:val="20"/>
          <w:szCs w:val="20"/>
          <w:rtl/>
          <w:lang w:eastAsia="en-US"/>
        </w:rPr>
        <w:t xml:space="preserve">לחוק בחוק סדר הדין הפלילי (תיקון מס' 4) - ולא ביטולו. אדרבא, מדי פעם הוספו עבירות לרשימת העבירות המותרות לקובלנה פרטית. עומדת על כך גם גביזון, בספרה הנ"ל,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501</w:t>
      </w:r>
      <w:proofErr w:type="spellStart"/>
      <w:r w:rsidRPr="00812ACF">
        <w:rPr>
          <w:rFonts w:cs="FrankRuehl"/>
          <w:sz w:val="20"/>
          <w:szCs w:val="20"/>
          <w:rtl/>
          <w:lang w:eastAsia="en-US"/>
        </w:rPr>
        <w:t>ה"ש</w:t>
      </w:r>
      <w:proofErr w:type="spellEnd"/>
      <w:r w:rsidRPr="00812ACF">
        <w:rPr>
          <w:rFonts w:cs="FrankRuehl"/>
          <w:sz w:val="20"/>
          <w:szCs w:val="20"/>
          <w:rtl/>
          <w:lang w:eastAsia="en-US"/>
        </w:rPr>
        <w:t xml:space="preserve"> </w:t>
      </w:r>
      <w:r w:rsidRPr="00812ACF">
        <w:rPr>
          <w:rFonts w:cs="FrankRuehl"/>
          <w:sz w:val="20"/>
          <w:szCs w:val="20"/>
          <w:lang w:eastAsia="en-US"/>
        </w:rPr>
        <w:t>.12</w:t>
      </w:r>
      <w:r w:rsidRPr="00812ACF">
        <w:rPr>
          <w:rFonts w:cs="FrankRuehl"/>
          <w:sz w:val="20"/>
          <w:szCs w:val="20"/>
          <w:rtl/>
          <w:lang w:eastAsia="en-US"/>
        </w:rPr>
        <w:t xml:space="preserve">כך, למשל, נוספה זכות לקובלנה פרטית לפי </w:t>
      </w:r>
      <w:hyperlink r:id="rId68" w:history="1">
        <w:r w:rsidRPr="00812ACF">
          <w:rPr>
            <w:rStyle w:val="Hyperlink"/>
            <w:rFonts w:cs="FrankRuehl"/>
            <w:sz w:val="20"/>
            <w:szCs w:val="20"/>
            <w:rtl/>
            <w:lang w:eastAsia="en-US"/>
          </w:rPr>
          <w:t>חוק הגנת הפרטיות</w:t>
        </w:r>
      </w:hyperlink>
      <w:r w:rsidRPr="00812ACF">
        <w:rPr>
          <w:rFonts w:cs="FrankRuehl"/>
          <w:sz w:val="20"/>
          <w:szCs w:val="20"/>
          <w:rtl/>
          <w:lang w:eastAsia="en-US"/>
        </w:rPr>
        <w:t>; ב</w:t>
      </w:r>
      <w:hyperlink r:id="rId69" w:history="1">
        <w:r w:rsidRPr="00812ACF">
          <w:rPr>
            <w:rStyle w:val="Hyperlink"/>
            <w:rFonts w:cs="FrankRuehl"/>
            <w:sz w:val="20"/>
            <w:szCs w:val="20"/>
            <w:rtl/>
            <w:lang w:eastAsia="en-US"/>
          </w:rPr>
          <w:t xml:space="preserve">חוק שמירת </w:t>
        </w:r>
        <w:proofErr w:type="spellStart"/>
        <w:r w:rsidRPr="00812ACF">
          <w:rPr>
            <w:rStyle w:val="Hyperlink"/>
            <w:rFonts w:cs="FrankRuehl"/>
            <w:sz w:val="20"/>
            <w:szCs w:val="20"/>
            <w:rtl/>
            <w:lang w:eastAsia="en-US"/>
          </w:rPr>
          <w:t>הנקיון</w:t>
        </w:r>
        <w:proofErr w:type="spellEnd"/>
      </w:hyperlink>
      <w:r w:rsidRPr="00812ACF">
        <w:rPr>
          <w:rFonts w:cs="FrankRuehl"/>
          <w:sz w:val="20"/>
          <w:szCs w:val="20"/>
          <w:rtl/>
          <w:lang w:eastAsia="en-US"/>
        </w:rPr>
        <w:t xml:space="preserve"> וב</w:t>
      </w:r>
      <w:hyperlink r:id="rId70" w:history="1">
        <w:r w:rsidRPr="00812ACF">
          <w:rPr>
            <w:rStyle w:val="Hyperlink"/>
            <w:rFonts w:cs="FrankRuehl"/>
            <w:sz w:val="20"/>
            <w:szCs w:val="20"/>
            <w:rtl/>
            <w:lang w:eastAsia="en-US"/>
          </w:rPr>
          <w:t>חוק המים</w:t>
        </w:r>
      </w:hyperlink>
      <w:r w:rsidRPr="00812ACF">
        <w:rPr>
          <w:rFonts w:cs="FrankRuehl"/>
          <w:sz w:val="20"/>
          <w:szCs w:val="20"/>
          <w:rtl/>
          <w:lang w:eastAsia="en-US"/>
        </w:rPr>
        <w:t xml:space="preserve"> (תיקון מס' 7).</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המחוקק בחר לאמץ את הקובלנה הפרטית, בגבולותיה. הוא עשה זאת בצורה מבוקרת, תוך הצבת בלמים ואיזונים</w:t>
      </w:r>
      <w:r w:rsidRPr="00812ACF">
        <w:rPr>
          <w:rFonts w:cs="FrankRuehl"/>
          <w:sz w:val="20"/>
          <w:szCs w:val="20"/>
          <w:lang w:eastAsia="en-US"/>
        </w:rPr>
        <w:t xml:space="preserve"> </w:t>
      </w:r>
      <w:r w:rsidRPr="00812ACF">
        <w:rPr>
          <w:rFonts w:cs="FrankRuehl"/>
          <w:sz w:val="20"/>
          <w:szCs w:val="20"/>
          <w:rtl/>
          <w:lang w:eastAsia="en-US"/>
        </w:rPr>
        <w:t>(</w:t>
      </w:r>
      <w:r w:rsidRPr="00812ACF">
        <w:rPr>
          <w:rFonts w:cs="FrankRuehl"/>
          <w:sz w:val="20"/>
          <w:szCs w:val="20"/>
          <w:lang w:eastAsia="en-US"/>
        </w:rPr>
        <w:t xml:space="preserve"> balances&amp; checks</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הוא הגביל את הזכות לקובלנה הפרטית רק למקרים המוגדרים. באלה נתן ערובה לפרט כנגד</w:t>
      </w:r>
      <w:r w:rsidRPr="00812ACF">
        <w:rPr>
          <w:rFonts w:cs="FrankRuehl"/>
          <w:sz w:val="20"/>
          <w:szCs w:val="20"/>
          <w:lang w:eastAsia="en-US"/>
        </w:rPr>
        <w:t xml:space="preserve"> </w:t>
      </w:r>
      <w:r w:rsidRPr="00812ACF">
        <w:rPr>
          <w:rFonts w:cs="FrankRuehl"/>
          <w:sz w:val="20"/>
          <w:szCs w:val="20"/>
          <w:rtl/>
          <w:lang w:eastAsia="en-US"/>
        </w:rPr>
        <w:t xml:space="preserve">אי הפעלת הסמכות של התביעה הכללית. מאידך, נתן כאמור בידי התביעה את הבחירה ליטול לעצמה את ניהול הקובלנה בידי פרקליט מפרקליטי המדינה ולהופכה לכתב אישום מטעמה (סעיפים </w:t>
      </w:r>
      <w:r w:rsidRPr="00812ACF">
        <w:rPr>
          <w:rFonts w:cs="FrankRuehl"/>
          <w:sz w:val="20"/>
          <w:szCs w:val="20"/>
          <w:lang w:eastAsia="en-US"/>
        </w:rPr>
        <w:t>71</w:t>
      </w:r>
      <w:r w:rsidRPr="00812ACF">
        <w:rPr>
          <w:rFonts w:cs="FrankRuehl"/>
          <w:sz w:val="20"/>
          <w:szCs w:val="20"/>
          <w:rtl/>
          <w:lang w:eastAsia="en-US"/>
        </w:rPr>
        <w:t>ו</w:t>
      </w:r>
      <w:r w:rsidRPr="00812ACF">
        <w:rPr>
          <w:rFonts w:cs="FrankRuehl"/>
          <w:sz w:val="20"/>
          <w:szCs w:val="20"/>
          <w:lang w:eastAsia="en-US"/>
        </w:rPr>
        <w:softHyphen/>
        <w:t xml:space="preserve"> 72</w:t>
      </w:r>
      <w:r w:rsidRPr="00812ACF">
        <w:rPr>
          <w:rFonts w:cs="FrankRuehl"/>
          <w:sz w:val="20"/>
          <w:szCs w:val="20"/>
          <w:rtl/>
          <w:lang w:eastAsia="en-US"/>
        </w:rPr>
        <w:t xml:space="preserve">לחוק; מן הראוי היה אמנם שהמחוקק יאריך את המועד הקצר יחסית של </w:t>
      </w:r>
      <w:r w:rsidRPr="00812ACF">
        <w:rPr>
          <w:rFonts w:cs="FrankRuehl"/>
          <w:sz w:val="20"/>
          <w:szCs w:val="20"/>
          <w:lang w:eastAsia="en-US"/>
        </w:rPr>
        <w:t>15</w:t>
      </w:r>
      <w:r w:rsidRPr="00812ACF">
        <w:rPr>
          <w:rFonts w:cs="FrankRuehl"/>
          <w:sz w:val="20"/>
          <w:szCs w:val="20"/>
          <w:rtl/>
          <w:lang w:eastAsia="en-US"/>
        </w:rPr>
        <w:t xml:space="preserve">יום שנקבע לכך בסעיף </w:t>
      </w:r>
      <w:r w:rsidRPr="00812ACF">
        <w:rPr>
          <w:rFonts w:cs="FrankRuehl"/>
          <w:sz w:val="20"/>
          <w:szCs w:val="20"/>
          <w:lang w:eastAsia="en-US"/>
        </w:rPr>
        <w:t>71</w:t>
      </w:r>
      <w:r w:rsidRPr="00812ACF">
        <w:rPr>
          <w:rFonts w:cs="FrankRuehl"/>
          <w:sz w:val="20"/>
          <w:szCs w:val="20"/>
          <w:rtl/>
          <w:lang w:eastAsia="en-US"/>
        </w:rPr>
        <w:t xml:space="preserve">לחוק). כך יכולה התביעה להשתמש בכוח הנתון בידה בדרך כלל להביא להפסקת האישום על ידי הימנעות </w:t>
      </w:r>
      <w:proofErr w:type="spellStart"/>
      <w:r w:rsidRPr="00812ACF">
        <w:rPr>
          <w:rFonts w:cs="FrankRuehl"/>
          <w:sz w:val="20"/>
          <w:szCs w:val="20"/>
          <w:rtl/>
          <w:lang w:eastAsia="en-US"/>
        </w:rPr>
        <w:t>מהביא</w:t>
      </w:r>
      <w:proofErr w:type="spellEnd"/>
      <w:r w:rsidRPr="00812ACF">
        <w:rPr>
          <w:rFonts w:cs="FrankRuehl"/>
          <w:sz w:val="20"/>
          <w:szCs w:val="20"/>
          <w:rtl/>
          <w:lang w:eastAsia="en-US"/>
        </w:rPr>
        <w:t xml:space="preserve"> עדים, ממש כבאישום מטעם התביעה הכללית (ראה: </w:t>
      </w:r>
      <w:hyperlink r:id="rId71" w:history="1">
        <w:r w:rsidRPr="00812ACF">
          <w:rPr>
            <w:rStyle w:val="Hyperlink"/>
            <w:rFonts w:cs="FrankRuehl"/>
            <w:sz w:val="20"/>
            <w:szCs w:val="20"/>
            <w:rtl/>
            <w:lang w:eastAsia="en-US"/>
          </w:rPr>
          <w:t>בג"צ 110/50</w:t>
        </w:r>
      </w:hyperlink>
      <w:r w:rsidRPr="00812ACF">
        <w:rPr>
          <w:rFonts w:cs="FrankRuehl"/>
          <w:sz w:val="20"/>
          <w:szCs w:val="20"/>
          <w:rtl/>
          <w:lang w:eastAsia="en-US"/>
        </w:rPr>
        <w:t xml:space="preserve"> [2] הנ"ל; </w:t>
      </w:r>
      <w:hyperlink r:id="rId72" w:history="1">
        <w:r w:rsidRPr="00812ACF">
          <w:rPr>
            <w:rStyle w:val="Hyperlink"/>
            <w:rFonts w:cs="FrankRuehl"/>
            <w:sz w:val="20"/>
            <w:szCs w:val="20"/>
            <w:rtl/>
            <w:lang w:eastAsia="en-US"/>
          </w:rPr>
          <w:t>בג"צ 156/56</w:t>
        </w:r>
      </w:hyperlink>
      <w:r w:rsidRPr="00812ACF">
        <w:rPr>
          <w:rFonts w:cs="FrankRuehl"/>
          <w:sz w:val="20"/>
          <w:szCs w:val="20"/>
          <w:rtl/>
          <w:lang w:eastAsia="en-US"/>
        </w:rPr>
        <w:t xml:space="preserve"> [3]), כמו שבידי היועץ המשפטי הסמכות לעכב את הקובלנה. מאידך הורחבה על פי הפסיקה האחרונה</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 xml:space="preserve">ביקורת בג"צ על פעולות היועץ המשפטי - להוציא טענות "סף", היקף ההתערבות של בג"צ בפעולתו של היועץ המשפטי הוא עתה כהיקף חוסר החוקיות הפוגם בהחלטותיו, והעילות הפוגעות בחוקיות החלטותיו כמוהן כעילות הפוגעות בחוקיות מעשיה של כל רשות אחרת. ראה בג"צ </w:t>
      </w:r>
      <w:r w:rsidRPr="00812ACF">
        <w:rPr>
          <w:rFonts w:cs="FrankRuehl"/>
          <w:sz w:val="20"/>
          <w:szCs w:val="20"/>
          <w:lang w:eastAsia="en-US"/>
        </w:rPr>
        <w:t>935/89</w:t>
      </w:r>
      <w:r w:rsidRPr="00812ACF">
        <w:rPr>
          <w:rFonts w:cs="FrankRuehl"/>
          <w:sz w:val="20"/>
          <w:szCs w:val="20"/>
          <w:rtl/>
          <w:lang w:eastAsia="en-US"/>
        </w:rPr>
        <w:t xml:space="preserve">, </w:t>
      </w:r>
      <w:r w:rsidRPr="00812ACF">
        <w:rPr>
          <w:rFonts w:cs="FrankRuehl"/>
          <w:sz w:val="20"/>
          <w:szCs w:val="20"/>
          <w:lang w:eastAsia="en-US"/>
        </w:rPr>
        <w:t>940</w:t>
      </w:r>
      <w:r w:rsidRPr="00812ACF">
        <w:rPr>
          <w:rFonts w:cs="FrankRuehl"/>
          <w:sz w:val="20"/>
          <w:szCs w:val="20"/>
          <w:rtl/>
          <w:lang w:eastAsia="en-US"/>
        </w:rPr>
        <w:t xml:space="preserve">, </w:t>
      </w:r>
      <w:r w:rsidRPr="00812ACF">
        <w:rPr>
          <w:rFonts w:cs="FrankRuehl"/>
          <w:sz w:val="20"/>
          <w:szCs w:val="20"/>
          <w:lang w:eastAsia="en-US"/>
        </w:rPr>
        <w:t>943</w:t>
      </w:r>
      <w:r w:rsidRPr="00812ACF">
        <w:rPr>
          <w:rFonts w:cs="FrankRuehl"/>
          <w:sz w:val="20"/>
          <w:szCs w:val="20"/>
          <w:rtl/>
          <w:lang w:eastAsia="en-US"/>
        </w:rPr>
        <w:t xml:space="preserve">[4],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523</w:t>
      </w:r>
      <w:r w:rsidRPr="00812ACF">
        <w:rPr>
          <w:rFonts w:cs="FrankRuehl"/>
          <w:sz w:val="20"/>
          <w:szCs w:val="20"/>
          <w:rtl/>
          <w:lang w:eastAsia="en-US"/>
        </w:rPr>
        <w:t>-</w:t>
      </w:r>
      <w:r w:rsidRPr="00812ACF">
        <w:rPr>
          <w:rFonts w:cs="FrankRuehl"/>
          <w:sz w:val="20"/>
          <w:szCs w:val="20"/>
          <w:lang w:eastAsia="en-US"/>
        </w:rPr>
        <w:t xml:space="preserve"> 526</w:t>
      </w:r>
      <w:r w:rsidRPr="00812ACF">
        <w:rPr>
          <w:rFonts w:cs="FrankRuehl"/>
          <w:sz w:val="20"/>
          <w:szCs w:val="20"/>
          <w:rtl/>
          <w:lang w:eastAsia="en-US"/>
        </w:rPr>
        <w:t xml:space="preserve">(הערותיה של גביזון לעניין זה, בספרה הנ"ל, </w:t>
      </w:r>
      <w:proofErr w:type="spellStart"/>
      <w:r w:rsidRPr="00812ACF">
        <w:rPr>
          <w:rFonts w:cs="FrankRuehl"/>
          <w:sz w:val="20"/>
          <w:szCs w:val="20"/>
          <w:rtl/>
          <w:lang w:eastAsia="en-US"/>
        </w:rPr>
        <w:t>בעמ</w:t>
      </w:r>
      <w:proofErr w:type="spellEnd"/>
      <w:r w:rsidRPr="00812ACF">
        <w:rPr>
          <w:rFonts w:cs="FrankRuehl"/>
          <w:sz w:val="20"/>
          <w:szCs w:val="20"/>
          <w:rtl/>
          <w:lang w:eastAsia="en-US"/>
        </w:rPr>
        <w:t xml:space="preserve">' </w:t>
      </w:r>
      <w:r w:rsidRPr="00812ACF">
        <w:rPr>
          <w:rFonts w:cs="FrankRuehl"/>
          <w:sz w:val="20"/>
          <w:szCs w:val="20"/>
          <w:lang w:eastAsia="en-US"/>
        </w:rPr>
        <w:t>513</w:t>
      </w:r>
      <w:r w:rsidRPr="00812ACF">
        <w:rPr>
          <w:rFonts w:cs="FrankRuehl"/>
          <w:sz w:val="20"/>
          <w:szCs w:val="20"/>
          <w:rtl/>
          <w:lang w:eastAsia="en-US"/>
        </w:rPr>
        <w:t>, נכתבו בבירור לפני התפתחות זו שחלה בפסיקת בג"צ).</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מחסום כנגד קובלנות המתנהלות בצורה בלתי יעילה או באופן טורדני הוסיף</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המחוקק בסעיף </w:t>
      </w:r>
      <w:r w:rsidRPr="00812ACF">
        <w:rPr>
          <w:rFonts w:cs="FrankRuehl"/>
          <w:sz w:val="20"/>
          <w:szCs w:val="20"/>
          <w:lang w:eastAsia="en-US"/>
        </w:rPr>
        <w:t>73</w:t>
      </w:r>
      <w:r w:rsidRPr="00812ACF">
        <w:rPr>
          <w:rFonts w:cs="FrankRuehl"/>
          <w:sz w:val="20"/>
          <w:szCs w:val="20"/>
          <w:rtl/>
          <w:lang w:eastAsia="en-US"/>
        </w:rPr>
        <w:t xml:space="preserve">לחוק. בלם נוסף, כנגד קובלנות שווא, מצוי בסעיף </w:t>
      </w:r>
      <w:r w:rsidRPr="00812ACF">
        <w:rPr>
          <w:rFonts w:cs="FrankRuehl"/>
          <w:sz w:val="20"/>
          <w:szCs w:val="20"/>
          <w:lang w:eastAsia="en-US"/>
        </w:rPr>
        <w:t>80</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ל</w:t>
      </w:r>
      <w:hyperlink r:id="rId73" w:history="1">
        <w:r w:rsidRPr="00812ACF">
          <w:rPr>
            <w:rStyle w:val="Hyperlink"/>
            <w:rFonts w:cs="FrankRuehl"/>
            <w:sz w:val="20"/>
            <w:szCs w:val="20"/>
            <w:rtl/>
            <w:lang w:eastAsia="en-US"/>
          </w:rPr>
          <w:t>חוק העונשין</w:t>
        </w:r>
      </w:hyperlink>
      <w:r w:rsidRPr="00812ACF">
        <w:rPr>
          <w:rFonts w:cs="FrankRuehl"/>
          <w:sz w:val="20"/>
          <w:szCs w:val="20"/>
          <w:rtl/>
          <w:lang w:eastAsia="en-US"/>
        </w:rPr>
        <w:t xml:space="preserve"> כפי שתוקן בחוק העונשין (תיקון מס 3), תש"ם-</w:t>
      </w:r>
      <w:r w:rsidRPr="00812ACF">
        <w:rPr>
          <w:rFonts w:cs="FrankRuehl"/>
          <w:sz w:val="20"/>
          <w:szCs w:val="20"/>
          <w:lang w:eastAsia="en-US"/>
        </w:rPr>
        <w:t>1980</w:t>
      </w:r>
      <w:r w:rsidRPr="00812ACF">
        <w:rPr>
          <w:rFonts w:cs="FrankRuehl"/>
          <w:sz w:val="20"/>
          <w:szCs w:val="20"/>
          <w:rtl/>
          <w:lang w:eastAsia="en-US"/>
        </w:rPr>
        <w:t>, לפיו ניתן</w:t>
      </w:r>
      <w:r w:rsidRPr="00812ACF">
        <w:rPr>
          <w:rFonts w:cs="FrankRuehl"/>
          <w:sz w:val="20"/>
          <w:szCs w:val="20"/>
          <w:lang w:eastAsia="en-US"/>
        </w:rPr>
        <w:t xml:space="preserve"> </w:t>
      </w:r>
      <w:r w:rsidRPr="00812ACF">
        <w:rPr>
          <w:rFonts w:cs="FrankRuehl"/>
          <w:sz w:val="20"/>
          <w:szCs w:val="20"/>
          <w:rtl/>
          <w:lang w:eastAsia="en-US"/>
        </w:rPr>
        <w:t xml:space="preserve">לחייב את הקובל שלקובלנתו לא היה יסוד (או בנסיבות אחרות המצדיקות זאת) לשלם לנאשם שזוכה את הוצאות הגנתו ופיצוי על מעצרו או מאסרו, ובסעיף </w:t>
      </w:r>
      <w:r w:rsidRPr="00812ACF">
        <w:rPr>
          <w:rFonts w:cs="FrankRuehl"/>
          <w:sz w:val="20"/>
          <w:szCs w:val="20"/>
          <w:lang w:eastAsia="en-US"/>
        </w:rPr>
        <w:t>81</w:t>
      </w:r>
      <w:r w:rsidRPr="00812ACF">
        <w:rPr>
          <w:rFonts w:cs="FrankRuehl"/>
          <w:sz w:val="20"/>
          <w:szCs w:val="20"/>
          <w:rtl/>
          <w:lang w:eastAsia="en-US"/>
        </w:rPr>
        <w:t>של</w:t>
      </w:r>
      <w:r w:rsidRPr="00812ACF">
        <w:rPr>
          <w:rFonts w:cs="FrankRuehl"/>
          <w:sz w:val="20"/>
          <w:szCs w:val="20"/>
          <w:lang w:eastAsia="en-US"/>
        </w:rPr>
        <w:t xml:space="preserve"> </w:t>
      </w:r>
      <w:r w:rsidRPr="00812ACF">
        <w:rPr>
          <w:rFonts w:cs="FrankRuehl"/>
          <w:sz w:val="20"/>
          <w:szCs w:val="20"/>
          <w:rtl/>
          <w:lang w:eastAsia="en-US"/>
        </w:rPr>
        <w:t xml:space="preserve">חוק העונשין, לפיו ניתן לחייב את המתלונן, שהגיש תלונה בקלות ראש או לשם </w:t>
      </w:r>
      <w:proofErr w:type="spellStart"/>
      <w:r w:rsidRPr="00812ACF">
        <w:rPr>
          <w:rFonts w:cs="FrankRuehl"/>
          <w:sz w:val="20"/>
          <w:szCs w:val="20"/>
          <w:rtl/>
          <w:lang w:eastAsia="en-US"/>
        </w:rPr>
        <w:t>קינטור</w:t>
      </w:r>
      <w:proofErr w:type="spellEnd"/>
      <w:r w:rsidRPr="00812ACF">
        <w:rPr>
          <w:rFonts w:cs="FrankRuehl"/>
          <w:sz w:val="20"/>
          <w:szCs w:val="20"/>
          <w:rtl/>
          <w:lang w:eastAsia="en-US"/>
        </w:rPr>
        <w:t xml:space="preserve"> או ללא יסוד, בתשלום הוצאות הנאשם והתביעה. בנוסף לכך מסתכן הקובל שהגיש קבילת נפל בזדון, ובלי סיבה סבירה ומסתברת, בתביעת פיצויים בעילת נגישה לפי סעיף </w:t>
      </w:r>
      <w:r w:rsidRPr="00812ACF">
        <w:rPr>
          <w:rFonts w:cs="FrankRuehl"/>
          <w:sz w:val="20"/>
          <w:szCs w:val="20"/>
          <w:lang w:eastAsia="en-US"/>
        </w:rPr>
        <w:t>60</w:t>
      </w:r>
      <w:r w:rsidRPr="00812ACF">
        <w:rPr>
          <w:rFonts w:cs="FrankRuehl"/>
          <w:sz w:val="20"/>
          <w:szCs w:val="20"/>
          <w:rtl/>
          <w:lang w:eastAsia="en-US"/>
        </w:rPr>
        <w:t xml:space="preserve">של </w:t>
      </w:r>
      <w:hyperlink r:id="rId74" w:history="1">
        <w:r w:rsidRPr="00812ACF">
          <w:rPr>
            <w:rStyle w:val="Hyperlink"/>
            <w:rFonts w:cs="FrankRuehl"/>
            <w:sz w:val="20"/>
            <w:szCs w:val="20"/>
            <w:rtl/>
            <w:lang w:eastAsia="en-US"/>
          </w:rPr>
          <w:t>פקודת הנזיקין</w:t>
        </w:r>
      </w:hyperlink>
      <w:r w:rsidRPr="00812ACF">
        <w:rPr>
          <w:rFonts w:cs="FrankRuehl"/>
          <w:sz w:val="20"/>
          <w:szCs w:val="20"/>
          <w:rtl/>
          <w:lang w:eastAsia="en-US"/>
        </w:rPr>
        <w:t xml:space="preserve"> [נוסח חדש]. חסרונם של בלמים</w:t>
      </w:r>
      <w:r w:rsidRPr="00812ACF">
        <w:rPr>
          <w:rFonts w:cs="FrankRuehl"/>
          <w:sz w:val="20"/>
          <w:szCs w:val="20"/>
          <w:lang w:eastAsia="en-US"/>
        </w:rPr>
        <w:t xml:space="preserve"> </w:t>
      </w:r>
      <w:r w:rsidRPr="00812ACF">
        <w:rPr>
          <w:rFonts w:cs="FrankRuehl"/>
          <w:sz w:val="20"/>
          <w:szCs w:val="20"/>
          <w:rtl/>
          <w:lang w:eastAsia="en-US"/>
        </w:rPr>
        <w:t xml:space="preserve">אלה הוא שהם תרופה לאחר מעשה: אין בכוחם למנוע </w:t>
      </w:r>
      <w:proofErr w:type="spellStart"/>
      <w:r w:rsidRPr="00812ACF">
        <w:rPr>
          <w:rFonts w:cs="FrankRuehl"/>
          <w:sz w:val="20"/>
          <w:szCs w:val="20"/>
          <w:rtl/>
          <w:lang w:eastAsia="en-US"/>
        </w:rPr>
        <w:t>מיטרד</w:t>
      </w:r>
      <w:proofErr w:type="spellEnd"/>
      <w:r w:rsidRPr="00812ACF">
        <w:rPr>
          <w:rFonts w:cs="FrankRuehl"/>
          <w:sz w:val="20"/>
          <w:szCs w:val="20"/>
          <w:rtl/>
          <w:lang w:eastAsia="en-US"/>
        </w:rPr>
        <w:t xml:space="preserve"> מהנאשם, אבל כוח הרתעה מסוים יש בהם</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מיטיב היה אולי המחוקק לעשות, </w:t>
      </w:r>
      <w:proofErr w:type="spellStart"/>
      <w:r w:rsidRPr="00812ACF">
        <w:rPr>
          <w:rFonts w:cs="FrankRuehl"/>
          <w:sz w:val="20"/>
          <w:szCs w:val="20"/>
          <w:rtl/>
          <w:lang w:eastAsia="en-US"/>
        </w:rPr>
        <w:t>לוא</w:t>
      </w:r>
      <w:proofErr w:type="spellEnd"/>
      <w:r w:rsidRPr="00812ACF">
        <w:rPr>
          <w:rFonts w:cs="FrankRuehl"/>
          <w:sz w:val="20"/>
          <w:szCs w:val="20"/>
          <w:rtl/>
          <w:lang w:eastAsia="en-US"/>
        </w:rPr>
        <w:t xml:space="preserve"> תיקן את החוק בכל הנוגע לקובלנה הפרטית ברוח ההמלצה של הוועדה המלכותית האנגלית בראשותו של פיליפס, כך שהקובלנה</w:t>
      </w:r>
      <w:r w:rsidRPr="00812ACF">
        <w:rPr>
          <w:rFonts w:cs="FrankRuehl"/>
          <w:sz w:val="20"/>
          <w:szCs w:val="20"/>
          <w:lang w:eastAsia="en-US"/>
        </w:rPr>
        <w:t xml:space="preserve"> </w:t>
      </w:r>
      <w:r w:rsidRPr="00812ACF">
        <w:rPr>
          <w:rFonts w:cs="FrankRuehl"/>
          <w:sz w:val="20"/>
          <w:szCs w:val="20"/>
          <w:rtl/>
          <w:lang w:eastAsia="en-US"/>
        </w:rPr>
        <w:t>הפרטית תהיה</w:t>
      </w:r>
      <w:r w:rsidRPr="00812ACF">
        <w:rPr>
          <w:rFonts w:cs="FrankRuehl"/>
          <w:sz w:val="20"/>
          <w:szCs w:val="20"/>
          <w:lang w:eastAsia="en-US"/>
        </w:rPr>
        <w:t xml:space="preserve"> </w:t>
      </w:r>
      <w:r w:rsidRPr="00812ACF">
        <w:rPr>
          <w:rFonts w:cs="FrankRuehl"/>
          <w:sz w:val="20"/>
          <w:szCs w:val="20"/>
          <w:rtl/>
          <w:lang w:eastAsia="en-US"/>
        </w:rPr>
        <w:t>חייבת לעבור תחילה סינון שיפוטי. יש בכך הכבדה עם הקובל, אך</w:t>
      </w:r>
      <w:r w:rsidRPr="00812ACF">
        <w:rPr>
          <w:rFonts w:cs="FrankRuehl"/>
          <w:sz w:val="20"/>
          <w:szCs w:val="20"/>
          <w:lang w:eastAsia="en-US"/>
        </w:rPr>
        <w:t xml:space="preserve"> </w:t>
      </w:r>
      <w:r w:rsidRPr="00812ACF">
        <w:rPr>
          <w:rFonts w:cs="FrankRuehl"/>
          <w:sz w:val="20"/>
          <w:szCs w:val="20"/>
          <w:rtl/>
          <w:lang w:eastAsia="en-US"/>
        </w:rPr>
        <w:t>לעומת זאת הומלץ שם, כי אם עברה הקובלנה את הסינון להגשתה, יוכל בית המשפט לצוות, כי המדינה תישא בהוצאות הקובל. הצעה ברוח זו הועלתה גם בארצות הברית; ראה</w:t>
      </w:r>
      <w:r w:rsidRPr="00812ACF">
        <w:rPr>
          <w:rFonts w:cs="FrankRuehl"/>
          <w:sz w:val="20"/>
          <w:szCs w:val="20"/>
          <w:lang w:eastAsia="en-US"/>
        </w:rPr>
        <w:t>: 'private prosecution a remedy for district attorneys" ,comment</w:t>
      </w:r>
      <w:r w:rsidRPr="00812ACF">
        <w:rPr>
          <w:rFonts w:cs="FrankRuehl"/>
          <w:sz w:val="20"/>
          <w:szCs w:val="20"/>
          <w:rtl/>
          <w:lang w:eastAsia="en-US"/>
        </w:rPr>
        <w:t xml:space="preserve"> </w:t>
      </w:r>
      <w:r w:rsidRPr="00812ACF">
        <w:rPr>
          <w:rFonts w:cs="FrankRuehl"/>
          <w:sz w:val="20"/>
          <w:szCs w:val="20"/>
          <w:lang w:eastAsia="en-US"/>
        </w:rPr>
        <w:t>233, 209</w:t>
      </w:r>
      <w:r w:rsidRPr="00812ACF">
        <w:rPr>
          <w:rFonts w:cs="FrankRuehl"/>
          <w:sz w:val="20"/>
          <w:szCs w:val="20"/>
          <w:rtl/>
          <w:lang w:eastAsia="en-US"/>
        </w:rPr>
        <w:t>(</w:t>
      </w:r>
      <w:r w:rsidRPr="00812ACF">
        <w:rPr>
          <w:rFonts w:cs="FrankRuehl"/>
          <w:sz w:val="20"/>
          <w:szCs w:val="20"/>
          <w:lang w:eastAsia="en-US"/>
        </w:rPr>
        <w:t>56-1955</w:t>
      </w:r>
      <w:r w:rsidRPr="00812ACF">
        <w:rPr>
          <w:rFonts w:cs="FrankRuehl"/>
          <w:sz w:val="20"/>
          <w:szCs w:val="20"/>
          <w:rtl/>
          <w:lang w:eastAsia="en-US"/>
        </w:rPr>
        <w:t>)</w:t>
      </w:r>
      <w:r w:rsidRPr="00812ACF">
        <w:rPr>
          <w:rFonts w:cs="FrankRuehl"/>
          <w:sz w:val="20"/>
          <w:szCs w:val="20"/>
          <w:lang w:eastAsia="en-US"/>
        </w:rPr>
        <w:t xml:space="preserve"> . Yale </w:t>
      </w:r>
      <w:proofErr w:type="spellStart"/>
      <w:r w:rsidRPr="00812ACF">
        <w:rPr>
          <w:rFonts w:cs="FrankRuehl"/>
          <w:sz w:val="20"/>
          <w:szCs w:val="20"/>
          <w:lang w:eastAsia="en-US"/>
        </w:rPr>
        <w:t>l.j</w:t>
      </w:r>
      <w:proofErr w:type="spellEnd"/>
      <w:r w:rsidRPr="00812ACF">
        <w:rPr>
          <w:rFonts w:cs="FrankRuehl"/>
          <w:sz w:val="20"/>
          <w:szCs w:val="20"/>
          <w:lang w:eastAsia="en-US"/>
        </w:rPr>
        <w:t xml:space="preserve"> 65</w:t>
      </w:r>
      <w:proofErr w:type="gramStart"/>
      <w:r w:rsidRPr="00812ACF">
        <w:rPr>
          <w:rFonts w:cs="FrankRuehl"/>
          <w:sz w:val="20"/>
          <w:szCs w:val="20"/>
          <w:lang w:eastAsia="en-US"/>
        </w:rPr>
        <w:t>" ,unwarranted</w:t>
      </w:r>
      <w:proofErr w:type="gramEnd"/>
      <w:r w:rsidRPr="00812ACF">
        <w:rPr>
          <w:rFonts w:cs="FrankRuehl"/>
          <w:sz w:val="20"/>
          <w:szCs w:val="20"/>
          <w:lang w:eastAsia="en-US"/>
        </w:rPr>
        <w:t xml:space="preserve"> inaction</w:t>
      </w:r>
      <w:r w:rsidRPr="00812ACF">
        <w:rPr>
          <w:rFonts w:cs="FrankRuehl"/>
          <w:sz w:val="20"/>
          <w:szCs w:val="20"/>
          <w:rtl/>
          <w:lang w:eastAsia="en-US"/>
        </w:rPr>
        <w:t>והיא מקובלת באוסטריה; ראה</w:t>
      </w:r>
      <w:r w:rsidRPr="00812ACF">
        <w:rPr>
          <w:rFonts w:cs="FrankRuehl"/>
          <w:sz w:val="20"/>
          <w:szCs w:val="20"/>
          <w:lang w:eastAsia="en-US"/>
        </w:rPr>
        <w:t>: ,</w:t>
      </w:r>
      <w:proofErr w:type="spellStart"/>
      <w:r w:rsidRPr="00812ACF">
        <w:rPr>
          <w:rFonts w:cs="FrankRuehl"/>
          <w:sz w:val="20"/>
          <w:szCs w:val="20"/>
          <w:lang w:eastAsia="en-US"/>
        </w:rPr>
        <w:t>goldstein</w:t>
      </w:r>
      <w:proofErr w:type="spellEnd"/>
      <w:r w:rsidRPr="00812ACF">
        <w:rPr>
          <w:rFonts w:cs="FrankRuehl"/>
          <w:sz w:val="20"/>
          <w:szCs w:val="20"/>
          <w:lang w:eastAsia="en-US"/>
        </w:rPr>
        <w:t>, encyclopedia of crime and justice</w:t>
      </w:r>
      <w:r w:rsidRPr="00812ACF">
        <w:rPr>
          <w:rFonts w:cs="FrankRuehl"/>
          <w:sz w:val="20"/>
          <w:szCs w:val="20"/>
          <w:rtl/>
          <w:lang w:eastAsia="en-US"/>
        </w:rPr>
        <w:t xml:space="preserve"> </w:t>
      </w:r>
      <w:r w:rsidRPr="00812ACF">
        <w:rPr>
          <w:rFonts w:cs="FrankRuehl"/>
          <w:sz w:val="20"/>
          <w:szCs w:val="20"/>
          <w:lang w:eastAsia="en-US"/>
        </w:rPr>
        <w:t xml:space="preserve">. </w:t>
      </w:r>
      <w:proofErr w:type="gramStart"/>
      <w:r w:rsidRPr="00812ACF">
        <w:rPr>
          <w:rFonts w:cs="FrankRuehl"/>
          <w:sz w:val="20"/>
          <w:szCs w:val="20"/>
          <w:lang w:eastAsia="en-US"/>
        </w:rPr>
        <w:t>1302supra, at</w:t>
      </w:r>
      <w:r w:rsidRPr="00812ACF">
        <w:rPr>
          <w:rFonts w:cs="FrankRuehl"/>
          <w:sz w:val="20"/>
          <w:szCs w:val="20"/>
          <w:rtl/>
          <w:lang w:eastAsia="en-US"/>
        </w:rPr>
        <w:t xml:space="preserve"> אך כך או אחרת, אלה טיבה והיקפה של הקובלנה הפרטית אצלנו ואלה נקודות האיזון שהמחוקק בחר בהן בין</w:t>
      </w:r>
      <w:r w:rsidRPr="00812ACF">
        <w:rPr>
          <w:rFonts w:cs="FrankRuehl"/>
          <w:sz w:val="20"/>
          <w:szCs w:val="20"/>
          <w:lang w:eastAsia="en-US"/>
        </w:rPr>
        <w:t xml:space="preserve"> </w:t>
      </w:r>
      <w:r w:rsidRPr="00812ACF">
        <w:rPr>
          <w:rFonts w:cs="FrankRuehl"/>
          <w:sz w:val="20"/>
          <w:szCs w:val="20"/>
          <w:rtl/>
          <w:lang w:eastAsia="en-US"/>
        </w:rPr>
        <w:t>האינטרס הציבורי שבקבילה והאינטרס הפרטי של הקובל, לבין האינטרס של הנאשם</w:t>
      </w:r>
      <w:r w:rsidRPr="00812ACF">
        <w:rPr>
          <w:rFonts w:cs="FrankRuehl"/>
          <w:sz w:val="20"/>
          <w:szCs w:val="20"/>
          <w:lang w:eastAsia="en-US"/>
        </w:rPr>
        <w:t>.</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.8</w:t>
      </w:r>
      <w:r w:rsidRPr="00812ACF">
        <w:rPr>
          <w:rFonts w:cs="FrankRuehl"/>
          <w:sz w:val="20"/>
          <w:szCs w:val="20"/>
          <w:rtl/>
          <w:lang w:eastAsia="en-US"/>
        </w:rPr>
        <w:t>את שאלת הסמכות לעצור את הנאשם עד תום ההליכים בקובלנה פרטית יש לבחון תוך התייחסות לאופייה ולטיבה של הקובלנה הפרטית אך מנקודת המוצא שהקובלנה הפרטית, בגבולות המתוארים, רצויה היא למחוקק.</w:t>
      </w:r>
      <w:proofErr w:type="gramEnd"/>
      <w:r w:rsidRPr="00812ACF">
        <w:rPr>
          <w:rFonts w:cs="FrankRuehl"/>
          <w:sz w:val="20"/>
          <w:szCs w:val="20"/>
          <w:rtl/>
          <w:lang w:eastAsia="en-US"/>
        </w:rPr>
        <w:t xml:space="preserve"> אין מקום לכן לראות בה "בת חורגת" בלתי רצויה ובלתי רצינית, בשל כך שהתביעה לא מצאה להגיש אישום, בין מטעמים של היעדר ראיות מספיקות לכאורה לתלונה ובין מטעמים של היעדר עניין לציבור, או כי לא מצאה ליטול את ניהול הקובלנה לידיה לאחר שקיבלה הודעה על הגשתה.</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השיקול, שהתלונה לא נמצאה ראויה לאימוץ על ידי התביעה הכללית, כבר נשקל על ידי המחוקק, והוא עשה את בחירתו לטובת הקובלנה הפרטית. בחינתה של השאלה צריכה להיעשות, לאור אופייה וטיבה של הקובלנה הפרטית, לא רק מההיבט של עניינו של הקובל אלא</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גם מהיבטים בעלי חשיבות ציבורית וערכית - שהעבריין ייתן את הדין על מעשיו, שהציבור לא יאבד את האמונה באכיפת החוק וכי כל פרט מתוכו, והקורבן במיוחד, יודע כי בכוחו לתרום לכך; ויתרה מכך: בעבירות מסוימות, שיש בהן פגיעה בציבור כולו, מעורבותו של הפרט דווקא, כקובל פרטי, דרושה בעיני המחוקק לשם השלטתו של החוק (כמו למשל בענייני הבחירות ואיכות הסביבה).</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סמכות המעצר בקובלנה הפרטית</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.9</w:t>
      </w:r>
      <w:r w:rsidRPr="00812ACF">
        <w:rPr>
          <w:rFonts w:cs="FrankRuehl"/>
          <w:sz w:val="20"/>
          <w:szCs w:val="20"/>
          <w:rtl/>
          <w:lang w:eastAsia="en-US"/>
        </w:rPr>
        <w:t xml:space="preserve">האם עניין המעצר עד תום ההליכים מחייב שינויים מתאימים בהחלת החוק על הקובלנה הפרטית, והאם משתמעת ממנו כוונה אחרת מבחינת הזהות בין הקובל לתובע, במובן סעיף </w:t>
      </w:r>
      <w:r w:rsidRPr="00812ACF">
        <w:rPr>
          <w:rFonts w:cs="FrankRuehl"/>
          <w:sz w:val="20"/>
          <w:szCs w:val="20"/>
          <w:lang w:eastAsia="en-US"/>
        </w:rPr>
        <w:t>70?</w:t>
      </w:r>
      <w:proofErr w:type="gramEnd"/>
      <w:r w:rsidRPr="00812ACF">
        <w:rPr>
          <w:rFonts w:cs="FrankRuehl"/>
          <w:sz w:val="20"/>
          <w:szCs w:val="20"/>
          <w:rtl/>
          <w:lang w:eastAsia="en-US"/>
        </w:rPr>
        <w:t xml:space="preserve"> פרשנותו ויישומו של סעיף </w:t>
      </w:r>
      <w:r w:rsidRPr="00812ACF">
        <w:rPr>
          <w:rFonts w:cs="FrankRuehl"/>
          <w:sz w:val="20"/>
          <w:szCs w:val="20"/>
          <w:lang w:eastAsia="en-US"/>
        </w:rPr>
        <w:t>70</w:t>
      </w:r>
      <w:r w:rsidRPr="00812ACF">
        <w:rPr>
          <w:rFonts w:cs="FrankRuehl"/>
          <w:sz w:val="20"/>
          <w:szCs w:val="20"/>
          <w:rtl/>
          <w:lang w:eastAsia="en-US"/>
        </w:rPr>
        <w:t xml:space="preserve">טרם נדונו בבית משפט זה, וככל הידוע לי גם לא בבתי המשפט המחוזיים. פעם אחת עלתה השאלה, על פי סעיף </w:t>
      </w:r>
      <w:r w:rsidRPr="00812ACF">
        <w:rPr>
          <w:rFonts w:cs="FrankRuehl"/>
          <w:sz w:val="20"/>
          <w:szCs w:val="20"/>
          <w:lang w:eastAsia="en-US"/>
        </w:rPr>
        <w:t>19</w:t>
      </w:r>
      <w:r w:rsidRPr="00812ACF">
        <w:rPr>
          <w:rFonts w:cs="FrankRuehl"/>
          <w:sz w:val="20"/>
          <w:szCs w:val="20"/>
          <w:rtl/>
          <w:lang w:eastAsia="en-US"/>
        </w:rPr>
        <w:t xml:space="preserve">(1) לפקודת שיפוט בתי משפט השלום כפי שתוקנה בחוק לתיקון פקודת שיפוט בתי משפט השלום (תיקון מס' 2). היה זה בדבר סמכותו של בית המשפט להמיר עבירה בעבירה על פי סעיף </w:t>
      </w:r>
      <w:r w:rsidRPr="00812ACF">
        <w:rPr>
          <w:rFonts w:cs="FrankRuehl"/>
          <w:sz w:val="20"/>
          <w:szCs w:val="20"/>
          <w:lang w:eastAsia="en-US"/>
        </w:rPr>
        <w:t>22</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לפקודת שיפוט בתי משפט השלום, הדומה לסעיף </w:t>
      </w:r>
      <w:r w:rsidRPr="00812ACF">
        <w:rPr>
          <w:rFonts w:cs="FrankRuehl"/>
          <w:sz w:val="20"/>
          <w:szCs w:val="20"/>
          <w:lang w:eastAsia="en-US"/>
        </w:rPr>
        <w:t>184</w:t>
      </w:r>
      <w:r w:rsidRPr="00812ACF">
        <w:rPr>
          <w:rFonts w:cs="FrankRuehl"/>
          <w:sz w:val="20"/>
          <w:szCs w:val="20"/>
          <w:rtl/>
          <w:lang w:eastAsia="en-US"/>
        </w:rPr>
        <w:t>לחוק. אך השאלה לא הצריכה שם</w:t>
      </w:r>
      <w:r w:rsidRPr="00812ACF">
        <w:rPr>
          <w:rFonts w:cs="FrankRuehl"/>
          <w:sz w:val="20"/>
          <w:szCs w:val="20"/>
          <w:lang w:eastAsia="en-US"/>
        </w:rPr>
        <w:t xml:space="preserve"> </w:t>
      </w:r>
      <w:r w:rsidRPr="00812ACF">
        <w:rPr>
          <w:rFonts w:cs="FrankRuehl"/>
          <w:sz w:val="20"/>
          <w:szCs w:val="20"/>
          <w:rtl/>
          <w:lang w:eastAsia="en-US"/>
        </w:rPr>
        <w:t xml:space="preserve">תשובה. ראה </w:t>
      </w:r>
      <w:hyperlink r:id="rId75" w:history="1">
        <w:r w:rsidRPr="00812ACF">
          <w:rPr>
            <w:rStyle w:val="Hyperlink"/>
            <w:rFonts w:cs="FrankRuehl"/>
            <w:sz w:val="20"/>
            <w:szCs w:val="20"/>
            <w:rtl/>
            <w:lang w:eastAsia="en-US"/>
          </w:rPr>
          <w:t>ע"פ 152/63</w:t>
        </w:r>
      </w:hyperlink>
      <w:r w:rsidRPr="00812ACF">
        <w:rPr>
          <w:rFonts w:cs="FrankRuehl"/>
          <w:sz w:val="20"/>
          <w:szCs w:val="20"/>
          <w:rtl/>
          <w:lang w:eastAsia="en-US"/>
        </w:rPr>
        <w:t xml:space="preserve"> [5]. לא מכבר התעוררה ונדונה שאלה, על פי סעיף </w:t>
      </w:r>
      <w:r w:rsidRPr="00812ACF">
        <w:rPr>
          <w:rFonts w:cs="FrankRuehl"/>
          <w:sz w:val="20"/>
          <w:szCs w:val="20"/>
          <w:lang w:eastAsia="en-US"/>
        </w:rPr>
        <w:t xml:space="preserve">70, </w:t>
      </w:r>
      <w:r w:rsidRPr="00812ACF">
        <w:rPr>
          <w:rFonts w:cs="FrankRuehl"/>
          <w:sz w:val="20"/>
          <w:szCs w:val="20"/>
          <w:rtl/>
          <w:lang w:eastAsia="en-US"/>
        </w:rPr>
        <w:t>בהחלטה מנומקת יפה של כבוד השופטת י' צור בבית משפט השלום בירושלים. היה זה בקשר למתן צו חיפוש ותפיסה, ולכך עוד אשוב</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לשונו של סעיף </w:t>
      </w:r>
      <w:r w:rsidRPr="00812ACF">
        <w:rPr>
          <w:rFonts w:cs="FrankRuehl"/>
          <w:sz w:val="20"/>
          <w:szCs w:val="20"/>
          <w:lang w:eastAsia="en-US"/>
        </w:rPr>
        <w:t>70</w:t>
      </w:r>
      <w:r w:rsidRPr="00812ACF">
        <w:rPr>
          <w:rFonts w:cs="FrankRuehl"/>
          <w:sz w:val="20"/>
          <w:szCs w:val="20"/>
          <w:rtl/>
          <w:lang w:eastAsia="en-US"/>
        </w:rPr>
        <w:t>פותחת כאמור פתח לפרשנות על פי המדיניות המשפטית הראויה, בהתחשב באופיין ובמטרותיהן של הקובלנה הפרטית ושל מטרת המעצר. כך, ולא על פי פרשנות מילולית טכנית, יש לפרשו. לא מקובלת עלי לכן הטענה, כי השימוש</w:t>
      </w:r>
      <w:r w:rsidRPr="00812ACF">
        <w:rPr>
          <w:rFonts w:cs="FrankRuehl"/>
          <w:sz w:val="20"/>
          <w:szCs w:val="20"/>
          <w:lang w:eastAsia="en-US"/>
        </w:rPr>
        <w:t xml:space="preserve"> </w:t>
      </w:r>
      <w:r w:rsidRPr="00812ACF">
        <w:rPr>
          <w:rFonts w:cs="FrankRuehl"/>
          <w:sz w:val="20"/>
          <w:szCs w:val="20"/>
          <w:rtl/>
          <w:lang w:eastAsia="en-US"/>
        </w:rPr>
        <w:t xml:space="preserve">בתיבה "צדדים" בהוראות המעצר שבסעיף </w:t>
      </w:r>
      <w:r w:rsidRPr="00812ACF">
        <w:rPr>
          <w:rFonts w:cs="FrankRuehl"/>
          <w:sz w:val="20"/>
          <w:szCs w:val="20"/>
          <w:lang w:eastAsia="en-US"/>
        </w:rPr>
        <w:t>21</w:t>
      </w:r>
      <w:r w:rsidRPr="00812ACF">
        <w:rPr>
          <w:rFonts w:cs="FrankRuehl"/>
          <w:sz w:val="20"/>
          <w:szCs w:val="20"/>
          <w:rtl/>
          <w:lang w:eastAsia="en-US"/>
        </w:rPr>
        <w:t>א(ב) של החוק מוציא את הקובל מכלל הרשאים</w:t>
      </w:r>
      <w:r w:rsidRPr="00812ACF">
        <w:rPr>
          <w:rFonts w:cs="FrankRuehl"/>
          <w:sz w:val="20"/>
          <w:szCs w:val="20"/>
          <w:lang w:eastAsia="en-US"/>
        </w:rPr>
        <w:t xml:space="preserve"> </w:t>
      </w:r>
      <w:r w:rsidRPr="00812ACF">
        <w:rPr>
          <w:rFonts w:cs="FrankRuehl"/>
          <w:sz w:val="20"/>
          <w:szCs w:val="20"/>
          <w:rtl/>
          <w:lang w:eastAsia="en-US"/>
        </w:rPr>
        <w:t>לבקש מעצר, או כי יש ללמוד זאת מכך שבפרק המעצר, הקודם לפרק הקובלנה, אין הקובל נזכר כלל. טענות אלה נדחו בהחלטת בית המשפט המחוזי, ובצדק</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בענייננו מדובר במעצר בשל חשש לשיבוש הליכי משפט על ידי הטרדת עדים, שהוא אחת מעילות המעצר לפי סעיף </w:t>
      </w:r>
      <w:r w:rsidRPr="00812ACF">
        <w:rPr>
          <w:rFonts w:cs="FrankRuehl"/>
          <w:sz w:val="20"/>
          <w:szCs w:val="20"/>
          <w:lang w:eastAsia="en-US"/>
        </w:rPr>
        <w:t>21</w:t>
      </w:r>
      <w:r w:rsidRPr="00812ACF">
        <w:rPr>
          <w:rFonts w:cs="FrankRuehl"/>
          <w:sz w:val="20"/>
          <w:szCs w:val="20"/>
          <w:rtl/>
          <w:lang w:eastAsia="en-US"/>
        </w:rPr>
        <w:t>א(א)(1) של החוק. אך לעניין סמכות בית המשפט אחת היא אם מדובר בעילת מעצר זו או אחרת.</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על אופייה של הקובלנה הפרטית כבר הרחבתי לעיל. מאפייניה השליליים - שהיא אינה חייבת לעמוד במבחן המקדמי הכפול בו עומד כתב אישום, של חקירת העובדות וקיום תשתית </w:t>
      </w:r>
      <w:proofErr w:type="spellStart"/>
      <w:r w:rsidRPr="00812ACF">
        <w:rPr>
          <w:rFonts w:cs="FrankRuehl"/>
          <w:sz w:val="20"/>
          <w:szCs w:val="20"/>
          <w:rtl/>
          <w:lang w:eastAsia="en-US"/>
        </w:rPr>
        <w:t>ראייתית</w:t>
      </w:r>
      <w:proofErr w:type="spellEnd"/>
      <w:r w:rsidRPr="00812ACF">
        <w:rPr>
          <w:rFonts w:cs="FrankRuehl"/>
          <w:sz w:val="20"/>
          <w:szCs w:val="20"/>
          <w:rtl/>
          <w:lang w:eastAsia="en-US"/>
        </w:rPr>
        <w:t xml:space="preserve"> ושל קיומו של אינטרס ציבורי, וכי טמונה בה סכנת הטרדה </w:t>
      </w:r>
      <w:r w:rsidRPr="00812ACF">
        <w:rPr>
          <w:rFonts w:cs="FrankRuehl"/>
          <w:sz w:val="20"/>
          <w:szCs w:val="20"/>
          <w:rtl/>
          <w:lang w:eastAsia="en-US"/>
        </w:rPr>
        <w:softHyphen/>
        <w:t xml:space="preserve">לא נעלמו מעיני המחוקק. על אף זאת בחר להכיר בה כהליך ראוי, מטעמים שכבר הוסברו לעיל ותוך הקמת מערכת של בלמים כאיזון נגד מאפייניה אלה. אין לכן בגורמים אלה בלבד, אף לא בנימוק שלקובלנה אופי אזרחי (מה שכאמור אינו מדויק), כדי לשלול מבית המשפט את הסמכויות הרגילות הנתונות לו בהליך פלילי על פי כתב אישום, כשלא נאמר אחרת. גביזון סבורה, שדווקא בקובלנה הפרטית חייב היועץ המשפטי לנהוג זהירות בשימוש בסמכותו לעכב את ההליכים (ספרה הנ"ל, </w:t>
      </w:r>
      <w:proofErr w:type="spellStart"/>
      <w:r w:rsidRPr="00812ACF">
        <w:rPr>
          <w:rFonts w:cs="FrankRuehl"/>
          <w:sz w:val="20"/>
          <w:szCs w:val="20"/>
          <w:rtl/>
          <w:lang w:eastAsia="en-US"/>
        </w:rPr>
        <w:t>בעמ</w:t>
      </w:r>
      <w:proofErr w:type="spellEnd"/>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proofErr w:type="gramStart"/>
      <w:r w:rsidRPr="00812ACF">
        <w:rPr>
          <w:rFonts w:cs="FrankRuehl"/>
          <w:sz w:val="20"/>
          <w:szCs w:val="20"/>
          <w:lang w:eastAsia="en-US"/>
        </w:rPr>
        <w:lastRenderedPageBreak/>
        <w:t>510-511</w:t>
      </w:r>
      <w:r w:rsidRPr="00812ACF">
        <w:rPr>
          <w:rFonts w:cs="FrankRuehl"/>
          <w:sz w:val="20"/>
          <w:szCs w:val="20"/>
          <w:rtl/>
          <w:lang w:eastAsia="en-US"/>
        </w:rPr>
        <w:t>)</w:t>
      </w:r>
      <w:r w:rsidRPr="00812ACF">
        <w:rPr>
          <w:rFonts w:cs="FrankRuehl"/>
          <w:sz w:val="20"/>
          <w:szCs w:val="20"/>
          <w:lang w:eastAsia="en-US"/>
        </w:rPr>
        <w:t xml:space="preserve">. </w:t>
      </w:r>
      <w:r w:rsidRPr="00812ACF">
        <w:rPr>
          <w:rFonts w:cs="FrankRuehl"/>
          <w:sz w:val="20"/>
          <w:szCs w:val="20"/>
          <w:rtl/>
          <w:lang w:eastAsia="en-US"/>
        </w:rPr>
        <w:t xml:space="preserve">זו גם דעתי, וכך, לדעתי, חייבת גם התביעה לנהוג בשימוש בכוחה להביא להפסקת אישום, בקובלנה שנטלה לידיה לפי סעיף </w:t>
      </w:r>
      <w:r w:rsidRPr="00812ACF">
        <w:rPr>
          <w:rFonts w:cs="FrankRuehl"/>
          <w:sz w:val="20"/>
          <w:szCs w:val="20"/>
          <w:lang w:eastAsia="en-US"/>
        </w:rPr>
        <w:t>71</w:t>
      </w:r>
      <w:r w:rsidRPr="00812ACF">
        <w:rPr>
          <w:rFonts w:cs="FrankRuehl"/>
          <w:sz w:val="20"/>
          <w:szCs w:val="20"/>
          <w:rtl/>
          <w:lang w:eastAsia="en-US"/>
        </w:rPr>
        <w:t>לחוק, על ידי הימנעות מקריאת עדים</w:t>
      </w:r>
      <w:r w:rsidRPr="00812ACF">
        <w:rPr>
          <w:rFonts w:cs="FrankRuehl"/>
          <w:sz w:val="20"/>
          <w:szCs w:val="20"/>
          <w:lang w:eastAsia="en-US"/>
        </w:rPr>
        <w:t>.</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.10</w:t>
      </w:r>
      <w:r w:rsidRPr="00812ACF">
        <w:rPr>
          <w:rFonts w:cs="FrankRuehl"/>
          <w:sz w:val="20"/>
          <w:szCs w:val="20"/>
          <w:rtl/>
          <w:lang w:eastAsia="en-US"/>
        </w:rPr>
        <w:t>מטרתו של המעצר בעילת שיבוש הליכי משפט היא להבטיח קיומו של</w:t>
      </w:r>
      <w:r w:rsidRPr="00812ACF">
        <w:rPr>
          <w:rFonts w:cs="FrankRuehl"/>
          <w:sz w:val="20"/>
          <w:szCs w:val="20"/>
          <w:lang w:eastAsia="en-US"/>
        </w:rPr>
        <w:t xml:space="preserve"> </w:t>
      </w:r>
      <w:r w:rsidRPr="00812ACF">
        <w:rPr>
          <w:rFonts w:cs="FrankRuehl"/>
          <w:sz w:val="20"/>
          <w:szCs w:val="20"/>
          <w:rtl/>
          <w:lang w:eastAsia="en-US"/>
        </w:rPr>
        <w:t>הליך משפטי תקין, שבו יוכלו העדים להעיד באופן חופשי, ללא שיופעלו עליהם אמצעים פסולים - לא אמצעי פיתוי ולא אמצעי הטרדה, לחץ, הפחדה והטלת אימה.</w:t>
      </w:r>
      <w:proofErr w:type="gramEnd"/>
      <w:r w:rsidRPr="00812ACF">
        <w:rPr>
          <w:rFonts w:cs="FrankRuehl"/>
          <w:sz w:val="20"/>
          <w:szCs w:val="20"/>
          <w:rtl/>
          <w:lang w:eastAsia="en-US"/>
        </w:rPr>
        <w:t xml:space="preserve"> זהו אינטרס ציבורי בעל חשיבות עליונה, ואין זה משנה אם מדובר בהליך על פי כתב אישום או בהליך על פי קובלנה פרטית. אינטרס זה, ולא חשיבותה או אי חשיבותה של הקובלנה הפרטית שאינה חייבת לעבור את מבחן האינטרס הציבורי להגשת כתב אישום על ידי התביעה, הוא הראוי להגנה על ידי הפעלת סמכות המעצר במקרה המתאים.</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.11</w:t>
      </w:r>
      <w:r w:rsidRPr="00812ACF">
        <w:rPr>
          <w:rFonts w:cs="FrankRuehl"/>
          <w:sz w:val="20"/>
          <w:szCs w:val="20"/>
          <w:rtl/>
          <w:lang w:eastAsia="en-US"/>
        </w:rPr>
        <w:t>אכן, כשיבוא בית המשפט לשקול את בקשת המעצר במקרה קונקרטי זה או אחר, יהיה</w:t>
      </w:r>
      <w:r w:rsidRPr="00812ACF">
        <w:rPr>
          <w:rFonts w:cs="FrankRuehl"/>
          <w:sz w:val="20"/>
          <w:szCs w:val="20"/>
          <w:lang w:eastAsia="en-US"/>
        </w:rPr>
        <w:t xml:space="preserve"> </w:t>
      </w:r>
      <w:r w:rsidRPr="00812ACF">
        <w:rPr>
          <w:rFonts w:cs="FrankRuehl"/>
          <w:sz w:val="20"/>
          <w:szCs w:val="20"/>
          <w:rtl/>
          <w:lang w:eastAsia="en-US"/>
        </w:rPr>
        <w:t>עליו לנהוג בה זהירות רבה, עוד מעבר למידת הזהירות הגבוהה שהוא חייב בה בדרך כלל בשל הפגיעה החמורה של המעצר בחירותו של הנאשם.</w:t>
      </w:r>
      <w:proofErr w:type="gramEnd"/>
      <w:r w:rsidRPr="00812ACF">
        <w:rPr>
          <w:rFonts w:cs="FrankRuehl"/>
          <w:sz w:val="20"/>
          <w:szCs w:val="20"/>
          <w:rtl/>
          <w:lang w:eastAsia="en-US"/>
        </w:rPr>
        <w:t xml:space="preserve"> יהיה עליו, כבכל בקשת מעצר, לבחון את התשתית העובדתית עליה מבוססת הבקשה, אך חייב יהיה בקפדנות יתר בקובלנה שלא עברה את מבחן הסף על ידי רשויות החקירה והתביעה. יהיה עליו גם לתת את דעתו לחשש, שמא הקובלנה מוגשת מתוך מניע פסול, ולבחון זאת היטב. כנגד אלה יהיה עליו לשקול את טיבה, מטרתה ומשקל חשיבותה של עילת המעצר שמדובר בה. "שומר הסף" בשאלות הוא בית המשפט, ואם לא נחה דעתו, לא יוציא צו מעצר.</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אך כל אלה אינם יורדים לסמכות בית המשפט, אלא לשימוש בשיקול דעתו, החייב, כאמור, להיעשות במידת האחריות </w:t>
      </w:r>
      <w:proofErr w:type="spellStart"/>
      <w:r w:rsidRPr="00812ACF">
        <w:rPr>
          <w:rFonts w:cs="FrankRuehl"/>
          <w:sz w:val="20"/>
          <w:szCs w:val="20"/>
          <w:rtl/>
          <w:lang w:eastAsia="en-US"/>
        </w:rPr>
        <w:t>המירבית</w:t>
      </w:r>
      <w:proofErr w:type="spellEnd"/>
      <w:r w:rsidRPr="00812ACF">
        <w:rPr>
          <w:rFonts w:cs="FrankRuehl"/>
          <w:sz w:val="20"/>
          <w:szCs w:val="20"/>
          <w:rtl/>
          <w:lang w:eastAsia="en-US"/>
        </w:rPr>
        <w:t xml:space="preserve"> הנדרשת באופן מיוחד מכך שמדובר בקובלנה פרטית.</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lang w:eastAsia="en-US"/>
        </w:rPr>
        <w:t xml:space="preserve"> </w:t>
      </w:r>
      <w:proofErr w:type="gramStart"/>
      <w:r w:rsidRPr="00812ACF">
        <w:rPr>
          <w:rFonts w:cs="FrankRuehl"/>
          <w:sz w:val="20"/>
          <w:szCs w:val="20"/>
          <w:lang w:eastAsia="en-US"/>
        </w:rPr>
        <w:t>.12</w:t>
      </w:r>
      <w:r w:rsidRPr="00812ACF">
        <w:rPr>
          <w:rFonts w:cs="FrankRuehl"/>
          <w:sz w:val="20"/>
          <w:szCs w:val="20"/>
          <w:rtl/>
          <w:lang w:eastAsia="en-US"/>
        </w:rPr>
        <w:t>אינני מוצאת טעם גם בטענה, כי מדובר בהליך בעל אופי אזרחי, ולכן</w:t>
      </w:r>
      <w:r w:rsidRPr="00812ACF">
        <w:rPr>
          <w:rFonts w:cs="FrankRuehl"/>
          <w:sz w:val="20"/>
          <w:szCs w:val="20"/>
          <w:lang w:eastAsia="en-US"/>
        </w:rPr>
        <w:t xml:space="preserve"> </w:t>
      </w:r>
      <w:r w:rsidRPr="00812ACF">
        <w:rPr>
          <w:rFonts w:cs="FrankRuehl"/>
          <w:sz w:val="20"/>
          <w:szCs w:val="20"/>
          <w:rtl/>
          <w:lang w:eastAsia="en-US"/>
        </w:rPr>
        <w:t>תרופתו של הקובל על שיבוש הליכי המשפט מתמצה בתלונה למשטרה, שאם זו תמצא אותה רצינית דיה, תעמיד את האחראי לכך לדין פלילי.</w:t>
      </w:r>
      <w:proofErr w:type="gramEnd"/>
      <w:r w:rsidRPr="00812ACF">
        <w:rPr>
          <w:rFonts w:cs="FrankRuehl"/>
          <w:sz w:val="20"/>
          <w:szCs w:val="20"/>
          <w:rtl/>
          <w:lang w:eastAsia="en-US"/>
        </w:rPr>
        <w:t xml:space="preserve"> העמדה לדין תביא, במקרה המתאים, לענישתו של העבריין. לא לכך מכוון המעצר ולא זו מטרתו. מטרת המעצר אינה ענישה. מטרת המעצר היא מניעה לפני מעשה, כדי לשמור על טוהר המשפט. מטרה זו לא תושג אם העבריין ייענש לאחר מעשה.</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.13</w:t>
      </w:r>
      <w:r w:rsidRPr="00812ACF">
        <w:rPr>
          <w:rFonts w:cs="FrankRuehl"/>
          <w:sz w:val="20"/>
          <w:szCs w:val="20"/>
          <w:rtl/>
          <w:lang w:eastAsia="en-US"/>
        </w:rPr>
        <w:t>הזכרתי כבר את החלטתה של השופטת צור בבית משפט השלום בירושלים (</w:t>
      </w:r>
      <w:hyperlink r:id="rId76" w:history="1">
        <w:r w:rsidRPr="00812ACF">
          <w:rPr>
            <w:rStyle w:val="Hyperlink"/>
            <w:rFonts w:cs="FrankRuehl"/>
            <w:sz w:val="20"/>
            <w:szCs w:val="20"/>
            <w:rtl/>
            <w:lang w:eastAsia="en-US"/>
          </w:rPr>
          <w:t>ב"ש 436/91</w:t>
        </w:r>
      </w:hyperlink>
      <w:r w:rsidRPr="00812ACF">
        <w:rPr>
          <w:rFonts w:cs="FrankRuehl"/>
          <w:sz w:val="20"/>
          <w:szCs w:val="20"/>
          <w:rtl/>
          <w:lang w:eastAsia="en-US"/>
        </w:rPr>
        <w:t xml:space="preserve">, </w:t>
      </w:r>
      <w:hyperlink r:id="rId77" w:history="1">
        <w:r w:rsidRPr="00812ACF">
          <w:rPr>
            <w:rStyle w:val="Hyperlink"/>
            <w:rFonts w:cs="FrankRuehl"/>
            <w:sz w:val="20"/>
            <w:szCs w:val="20"/>
            <w:rtl/>
            <w:lang w:eastAsia="en-US"/>
          </w:rPr>
          <w:t>ת"פ 861/91</w:t>
        </w:r>
      </w:hyperlink>
      <w:r w:rsidRPr="00812ACF">
        <w:rPr>
          <w:rFonts w:cs="FrankRuehl"/>
          <w:sz w:val="20"/>
          <w:szCs w:val="20"/>
          <w:rtl/>
          <w:lang w:eastAsia="en-US"/>
        </w:rPr>
        <w:t xml:space="preserve"> [6]).</w:t>
      </w:r>
      <w:proofErr w:type="gramEnd"/>
      <w:r w:rsidRPr="00812ACF">
        <w:rPr>
          <w:rFonts w:cs="FrankRuehl"/>
          <w:sz w:val="20"/>
          <w:szCs w:val="20"/>
          <w:rtl/>
          <w:lang w:eastAsia="en-US"/>
        </w:rPr>
        <w:t xml:space="preserve"> נדונה בה בקשה להוציא צו חיפוש ותפיסה בקובלנה פרטית על הפרת זכות יוצרים. תחילה ביקשה שם הקובלת את הצו לפי סעיפים </w:t>
      </w:r>
      <w:r w:rsidRPr="00812ACF">
        <w:rPr>
          <w:rFonts w:cs="FrankRuehl"/>
          <w:sz w:val="20"/>
          <w:szCs w:val="20"/>
          <w:lang w:eastAsia="en-US"/>
        </w:rPr>
        <w:t>23</w:t>
      </w:r>
      <w:r w:rsidRPr="00812ACF">
        <w:rPr>
          <w:rFonts w:cs="FrankRuehl"/>
          <w:sz w:val="20"/>
          <w:szCs w:val="20"/>
          <w:rtl/>
          <w:lang w:eastAsia="en-US"/>
        </w:rPr>
        <w:t>ו-</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proofErr w:type="gramStart"/>
      <w:r w:rsidRPr="00812ACF">
        <w:rPr>
          <w:rFonts w:cs="FrankRuehl"/>
          <w:sz w:val="20"/>
          <w:szCs w:val="20"/>
          <w:lang w:eastAsia="en-US"/>
        </w:rPr>
        <w:t>24</w:t>
      </w:r>
      <w:r w:rsidRPr="00812ACF">
        <w:rPr>
          <w:rFonts w:cs="FrankRuehl"/>
          <w:sz w:val="20"/>
          <w:szCs w:val="20"/>
          <w:rtl/>
          <w:lang w:eastAsia="en-US"/>
        </w:rPr>
        <w:t>ל</w:t>
      </w:r>
      <w:hyperlink r:id="rId78" w:history="1">
        <w:r w:rsidRPr="00812ACF">
          <w:rPr>
            <w:rStyle w:val="Hyperlink"/>
            <w:rFonts w:cs="FrankRuehl"/>
            <w:sz w:val="20"/>
            <w:szCs w:val="20"/>
            <w:rtl/>
            <w:lang w:eastAsia="en-US"/>
          </w:rPr>
          <w:t>פקודת סדר הדין הפלילי</w:t>
        </w:r>
      </w:hyperlink>
      <w:r w:rsidRPr="00812ACF">
        <w:rPr>
          <w:rFonts w:cs="FrankRuehl"/>
          <w:sz w:val="20"/>
          <w:szCs w:val="20"/>
          <w:rtl/>
          <w:lang w:eastAsia="en-US"/>
        </w:rPr>
        <w:t xml:space="preserve"> (מעצר וחיפוש) [נוסח חדש], תשכ"ט-</w:t>
      </w:r>
      <w:r w:rsidRPr="00812ACF">
        <w:rPr>
          <w:rFonts w:cs="FrankRuehl"/>
          <w:sz w:val="20"/>
          <w:szCs w:val="20"/>
          <w:lang w:eastAsia="en-US"/>
        </w:rPr>
        <w:t xml:space="preserve"> .1969</w:t>
      </w:r>
      <w:r w:rsidRPr="00812ACF">
        <w:rPr>
          <w:rFonts w:cs="FrankRuehl"/>
          <w:sz w:val="20"/>
          <w:szCs w:val="20"/>
          <w:rtl/>
          <w:lang w:eastAsia="en-US"/>
        </w:rPr>
        <w:t>אך היא לא</w:t>
      </w:r>
      <w:r w:rsidRPr="00812ACF">
        <w:rPr>
          <w:rFonts w:cs="FrankRuehl"/>
          <w:sz w:val="20"/>
          <w:szCs w:val="20"/>
          <w:lang w:eastAsia="en-US"/>
        </w:rPr>
        <w:t xml:space="preserve"> </w:t>
      </w:r>
      <w:r w:rsidRPr="00812ACF">
        <w:rPr>
          <w:rFonts w:cs="FrankRuehl"/>
          <w:sz w:val="20"/>
          <w:szCs w:val="20"/>
          <w:rtl/>
          <w:lang w:eastAsia="en-US"/>
        </w:rPr>
        <w:t>הסתפקה במתן צו המופנה אל המשטרה.</w:t>
      </w:r>
      <w:proofErr w:type="gramEnd"/>
      <w:r w:rsidRPr="00812ACF">
        <w:rPr>
          <w:rFonts w:cs="FrankRuehl"/>
          <w:sz w:val="20"/>
          <w:szCs w:val="20"/>
          <w:rtl/>
          <w:lang w:eastAsia="en-US"/>
        </w:rPr>
        <w:t xml:space="preserve"> היא ביקשה להסמיך אותה לבצע את הצו בכוחות עצמה. הבקשה הזאת נדחתה. בצדק נאמר בהחלטה, כי לא ייתכן לתת סמכויות ביצוע כאלה בידי מי שאינו נושא באחריות שלטונית. הודגש גם, כי אם סעיף </w:t>
      </w:r>
      <w:r w:rsidRPr="00812ACF">
        <w:rPr>
          <w:rFonts w:cs="FrankRuehl"/>
          <w:sz w:val="20"/>
          <w:szCs w:val="20"/>
          <w:lang w:eastAsia="en-US"/>
        </w:rPr>
        <w:t>24</w:t>
      </w:r>
      <w:r w:rsidRPr="00812ACF">
        <w:rPr>
          <w:rFonts w:cs="FrankRuehl"/>
          <w:sz w:val="20"/>
          <w:szCs w:val="20"/>
          <w:rtl/>
          <w:lang w:eastAsia="en-US"/>
        </w:rPr>
        <w:t>(א)(1) של הפקודה הנ"ל יפורש כמאפשר צו כזה, יחול הפירוש גם על הוצאת צו מעצר על פי</w:t>
      </w:r>
      <w:r w:rsidRPr="00812ACF">
        <w:rPr>
          <w:rFonts w:cs="FrankRuehl"/>
          <w:sz w:val="20"/>
          <w:szCs w:val="20"/>
          <w:lang w:eastAsia="en-US"/>
        </w:rPr>
        <w:t xml:space="preserve"> </w:t>
      </w:r>
      <w:r w:rsidRPr="00812ACF">
        <w:rPr>
          <w:rFonts w:cs="FrankRuehl"/>
          <w:sz w:val="20"/>
          <w:szCs w:val="20"/>
          <w:rtl/>
          <w:lang w:eastAsia="en-US"/>
        </w:rPr>
        <w:t xml:space="preserve">סעיף </w:t>
      </w:r>
      <w:r w:rsidRPr="00812ACF">
        <w:rPr>
          <w:rFonts w:cs="FrankRuehl"/>
          <w:sz w:val="20"/>
          <w:szCs w:val="20"/>
          <w:lang w:eastAsia="en-US"/>
        </w:rPr>
        <w:t>24</w:t>
      </w:r>
      <w:r w:rsidRPr="00812ACF">
        <w:rPr>
          <w:rFonts w:cs="FrankRuehl"/>
          <w:sz w:val="20"/>
          <w:szCs w:val="20"/>
          <w:rtl/>
          <w:lang w:eastAsia="en-US"/>
        </w:rPr>
        <w:t>(א)(2), מה שבבירור לא יעלה על הדעת. הבקשה החלופית</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להוציא צו חיפוש ותפיסה לפי סעיף 3(3) ל</w:t>
      </w:r>
      <w:hyperlink r:id="rId79" w:history="1">
        <w:r w:rsidRPr="00812ACF">
          <w:rPr>
            <w:rStyle w:val="Hyperlink"/>
            <w:rFonts w:cs="FrankRuehl"/>
            <w:sz w:val="20"/>
            <w:szCs w:val="20"/>
            <w:rtl/>
            <w:lang w:eastAsia="en-US"/>
          </w:rPr>
          <w:t>פקודת זכות יוצרים</w:t>
        </w:r>
      </w:hyperlink>
      <w:r w:rsidRPr="00812ACF">
        <w:rPr>
          <w:rFonts w:cs="FrankRuehl"/>
          <w:sz w:val="20"/>
          <w:szCs w:val="20"/>
          <w:rtl/>
          <w:lang w:eastAsia="en-US"/>
        </w:rPr>
        <w:t xml:space="preserve"> לביצוע עצמי, נדחתה גם היא. אך השופטת המלומדת נעתרה לבקשה חלופית של העותרת - היא הוציאה צו לפי סעיף 3(3) ל</w:t>
      </w:r>
      <w:hyperlink r:id="rId80" w:history="1">
        <w:r w:rsidRPr="00812ACF">
          <w:rPr>
            <w:rStyle w:val="Hyperlink"/>
            <w:rFonts w:cs="FrankRuehl"/>
            <w:sz w:val="20"/>
            <w:szCs w:val="20"/>
            <w:rtl/>
            <w:lang w:eastAsia="en-US"/>
          </w:rPr>
          <w:t>פקודת זכות יוצרים</w:t>
        </w:r>
      </w:hyperlink>
      <w:r w:rsidRPr="00812ACF">
        <w:rPr>
          <w:rFonts w:cs="FrankRuehl"/>
          <w:sz w:val="20"/>
          <w:szCs w:val="20"/>
          <w:rtl/>
          <w:lang w:eastAsia="en-US"/>
        </w:rPr>
        <w:t xml:space="preserve"> עם הוראה למשטרה לבצעו. אני סומכת ידי על החלטה נכונה זו, אך יש לאבחן אותה. בענייננו אין מדובר במתן סמכות בידי הקובל לעצור את הנאשם, אלא בשימוש על ידי בית המשפט, לבקשת הקובל, בסמכותו לצוות על מעצר. ביצועו של המעצר, אם יורה עליו בית המשפט, יהיה כמובן בידי הרשויות המוסמכות.</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lang w:eastAsia="en-US"/>
        </w:rPr>
        <w:t xml:space="preserve"> </w:t>
      </w:r>
      <w:proofErr w:type="gramStart"/>
      <w:r w:rsidRPr="00812ACF">
        <w:rPr>
          <w:rFonts w:cs="FrankRuehl"/>
          <w:sz w:val="20"/>
          <w:szCs w:val="20"/>
          <w:lang w:eastAsia="en-US"/>
        </w:rPr>
        <w:t>.14</w:t>
      </w:r>
      <w:r w:rsidRPr="00812ACF">
        <w:rPr>
          <w:rFonts w:cs="FrankRuehl"/>
          <w:sz w:val="20"/>
          <w:szCs w:val="20"/>
          <w:rtl/>
          <w:lang w:eastAsia="en-US"/>
        </w:rPr>
        <w:t>מהטעמים שפירטתי מקובלת עלי דעתו של בית המשפט המחוזי, כי בית משפט השלום היה מוסמך להוציא צו מעצר בעילה המבוקשת של שיבוש הליכי משפט.</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בכך לא נאמר, שראוי היה, בנסיבות המקרה, שבית משפט השלום ייענה לבקשה</w:t>
      </w:r>
      <w:r w:rsidRPr="00812ACF">
        <w:rPr>
          <w:rFonts w:cs="FrankRuehl"/>
          <w:sz w:val="20"/>
          <w:szCs w:val="20"/>
          <w:lang w:eastAsia="en-US"/>
        </w:rPr>
        <w:t xml:space="preserve"> </w:t>
      </w:r>
      <w:r w:rsidRPr="00812ACF">
        <w:rPr>
          <w:rFonts w:cs="FrankRuehl"/>
          <w:sz w:val="20"/>
          <w:szCs w:val="20"/>
          <w:rtl/>
          <w:lang w:eastAsia="en-US"/>
        </w:rPr>
        <w:t>ויצווה על מעצרו של המבקש. שתי הערכאות הקודמות לא שקלו שאלה זו. הראשונה</w:t>
      </w:r>
      <w:r w:rsidRPr="00812ACF">
        <w:rPr>
          <w:rFonts w:cs="FrankRuehl"/>
          <w:sz w:val="20"/>
          <w:szCs w:val="20"/>
          <w:lang w:eastAsia="en-US"/>
        </w:rPr>
        <w:t xml:space="preserve"> -</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מפני שסברה שהדבר איננו בסמכותה, והשנייה - מפני שסברה, ובצדק</w:t>
      </w:r>
      <w:r w:rsidRPr="00812ACF">
        <w:rPr>
          <w:rFonts w:cs="FrankRuehl"/>
          <w:sz w:val="20"/>
          <w:szCs w:val="20"/>
          <w:lang w:eastAsia="en-US"/>
        </w:rPr>
        <w:t xml:space="preserve">, </w:t>
      </w:r>
      <w:r w:rsidRPr="00812ACF">
        <w:rPr>
          <w:rFonts w:cs="FrankRuehl"/>
          <w:sz w:val="20"/>
          <w:szCs w:val="20"/>
          <w:rtl/>
          <w:lang w:eastAsia="en-US"/>
        </w:rPr>
        <w:t>שמן הראוי שהדבר יישקל בערכאה הראשונה</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.15</w:t>
      </w:r>
      <w:r w:rsidRPr="00812ACF">
        <w:rPr>
          <w:rFonts w:cs="FrankRuehl"/>
          <w:sz w:val="20"/>
          <w:szCs w:val="20"/>
          <w:rtl/>
          <w:lang w:eastAsia="en-US"/>
        </w:rPr>
        <w:t>הייתי דוחה את הערעור ומשאירה על כנה את החלטת בית המשפט המחוזי, על ההוראה הכלולה בה כי הדיון יוחזר לבית משפט השלום כדי שידון בבקשת המשיב למעצרו של המבקש, אם - למרות הזמן שחלף - יעמוד המשיב עדיין על בקשתו</w:t>
      </w:r>
      <w:r w:rsidRPr="00812ACF">
        <w:rPr>
          <w:rFonts w:cs="FrankRuehl"/>
          <w:sz w:val="20"/>
          <w:szCs w:val="20"/>
          <w:lang w:eastAsia="en-US"/>
        </w:rPr>
        <w:t>.</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השופט ת</w:t>
      </w:r>
      <w:r w:rsidRPr="00812ACF">
        <w:rPr>
          <w:rFonts w:cs="FrankRuehl"/>
          <w:sz w:val="20"/>
          <w:szCs w:val="20"/>
          <w:lang w:eastAsia="en-US"/>
        </w:rPr>
        <w:t xml:space="preserve">' </w:t>
      </w:r>
      <w:r w:rsidRPr="00812ACF">
        <w:rPr>
          <w:rFonts w:cs="FrankRuehl"/>
          <w:sz w:val="20"/>
          <w:szCs w:val="20"/>
          <w:rtl/>
          <w:lang w:eastAsia="en-US"/>
        </w:rPr>
        <w:t xml:space="preserve">אור: </w:t>
      </w:r>
      <w:r w:rsidRPr="00812ACF">
        <w:rPr>
          <w:rFonts w:cs="FrankRuehl"/>
          <w:sz w:val="20"/>
          <w:szCs w:val="20"/>
          <w:lang w:eastAsia="en-US"/>
        </w:rPr>
        <w:t>.1</w:t>
      </w:r>
      <w:r w:rsidRPr="00812ACF">
        <w:rPr>
          <w:rFonts w:cs="FrankRuehl"/>
          <w:sz w:val="20"/>
          <w:szCs w:val="20"/>
          <w:rtl/>
          <w:lang w:eastAsia="en-US"/>
        </w:rPr>
        <w:t xml:space="preserve">שותף אני לפירושה של חברתי הנכבדה, השופטת נתניהו, לסעיף </w:t>
      </w:r>
      <w:r w:rsidRPr="00812ACF">
        <w:rPr>
          <w:rFonts w:cs="FrankRuehl"/>
          <w:sz w:val="20"/>
          <w:szCs w:val="20"/>
          <w:lang w:eastAsia="en-US"/>
        </w:rPr>
        <w:t>70</w:t>
      </w:r>
      <w:r w:rsidRPr="00812ACF">
        <w:rPr>
          <w:rFonts w:cs="FrankRuehl"/>
          <w:sz w:val="20"/>
          <w:szCs w:val="20"/>
          <w:rtl/>
          <w:lang w:eastAsia="en-US"/>
        </w:rPr>
        <w:t>ל</w:t>
      </w:r>
      <w:hyperlink r:id="rId81" w:history="1">
        <w:r w:rsidRPr="00812ACF">
          <w:rPr>
            <w:rStyle w:val="Hyperlink"/>
            <w:rFonts w:cs="FrankRuehl"/>
            <w:sz w:val="20"/>
            <w:szCs w:val="20"/>
            <w:rtl/>
            <w:lang w:eastAsia="en-US"/>
          </w:rPr>
          <w:t>חוק סדר הדין הפלילי [נוסח משולב]</w:t>
        </w:r>
      </w:hyperlink>
      <w:r w:rsidRPr="00812ACF">
        <w:rPr>
          <w:rFonts w:cs="FrankRuehl"/>
          <w:sz w:val="20"/>
          <w:szCs w:val="20"/>
          <w:rtl/>
          <w:lang w:eastAsia="en-US"/>
        </w:rPr>
        <w:t xml:space="preserve"> (להלן - החוק) ולמסקנתה, על פיה מוסמך בית המשפט להוציא צו מעצר עד תום ההליכים בהליך המתקיים לפניו בדרך של קובלנה פרטית. חברתי הנכבדה פרשה יריעה רחבה הנוגעת להתפתחות מוסד הקובלנה הפרטית ומקומו בסדר הדין הפלילי בארצנו, והבהירה הבהר היטב את המסקנה המתבקשת בדבר סמכות בית המשפט ליתן צו מעצר כאמור. בגלל חשיבות הנושא וחדשנותו ברצוני להוסיף מספר הערות הקשורות ליישומו של הדין בדבר מעצר עד תום ההליכים בהליך של קובלנה פרטית</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.2</w:t>
      </w:r>
      <w:r w:rsidRPr="00812ACF">
        <w:rPr>
          <w:rFonts w:cs="FrankRuehl"/>
          <w:sz w:val="20"/>
          <w:szCs w:val="20"/>
          <w:rtl/>
          <w:lang w:eastAsia="en-US"/>
        </w:rPr>
        <w:t>מטרות המעצר עד תום ההליכים מגוונות הן.</w:t>
      </w:r>
      <w:proofErr w:type="gramEnd"/>
      <w:r w:rsidRPr="00812ACF">
        <w:rPr>
          <w:rFonts w:cs="FrankRuehl"/>
          <w:sz w:val="20"/>
          <w:szCs w:val="20"/>
          <w:rtl/>
          <w:lang w:eastAsia="en-US"/>
        </w:rPr>
        <w:t xml:space="preserve"> הן כוללות, בין היתר, את המטרה למנוע שיבוש של ההליכים המשפטיים - שיבוש היכול להיגרם על ידי אי התייצבות הנאשם לדין או על ידי השפעה או איום של הנאשם על עדים וכיוצא באלה מעשים שיש בהם</w:t>
      </w:r>
      <w:r w:rsidRPr="00812ACF">
        <w:rPr>
          <w:rFonts w:cs="FrankRuehl"/>
          <w:sz w:val="20"/>
          <w:szCs w:val="20"/>
          <w:lang w:eastAsia="en-US"/>
        </w:rPr>
        <w:t xml:space="preserve"> </w:t>
      </w:r>
      <w:r w:rsidRPr="00812ACF">
        <w:rPr>
          <w:rFonts w:cs="FrankRuehl"/>
          <w:sz w:val="20"/>
          <w:szCs w:val="20"/>
          <w:rtl/>
          <w:lang w:eastAsia="en-US"/>
        </w:rPr>
        <w:t>להפריע לתקינות ההליך הפלילי; כמו כן, המטרה למנוע סיכון מהציבור, כשקיים סיכון כזה אם הנאשם יהלך חופשי. ביסודן של מטרות אלה אינטרס ציבורי אשר פנים רבות לו</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מטרות אלה, או חלקן, כוחן עמן, לעתים, גם כשעוסקים אנו בעבירות, אשר הינן במסגרת סמכות שיפוטו של בית משפט השלום ואשר העונש הצפוי שבצדן אינו חמור. הדין המסדיר את המעצר עד תום ההליכים יפה לכל הליך פלילי ואינו מיוחד לעבירות החמורות בלבד. אכן, חומרת העבירה יש לה לא אחת חשיבות, על פי האמור בסעיף </w:t>
      </w:r>
      <w:r w:rsidRPr="00812ACF">
        <w:rPr>
          <w:rFonts w:cs="FrankRuehl"/>
          <w:sz w:val="20"/>
          <w:szCs w:val="20"/>
          <w:lang w:eastAsia="en-US"/>
        </w:rPr>
        <w:t>21</w:t>
      </w:r>
      <w:r w:rsidRPr="00812ACF">
        <w:rPr>
          <w:rFonts w:cs="FrankRuehl"/>
          <w:sz w:val="20"/>
          <w:szCs w:val="20"/>
          <w:rtl/>
          <w:lang w:eastAsia="en-US"/>
        </w:rPr>
        <w:t>א לחוק, כאשר באים לקבוע אם</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בנסיבות מקרה מסוים ראוי לעצור</w:t>
      </w:r>
      <w:r w:rsidRPr="00812ACF">
        <w:rPr>
          <w:rFonts w:cs="FrankRuehl"/>
          <w:sz w:val="20"/>
          <w:szCs w:val="20"/>
          <w:lang w:eastAsia="en-US"/>
        </w:rPr>
        <w:t xml:space="preserve"> </w:t>
      </w:r>
      <w:r w:rsidRPr="00812ACF">
        <w:rPr>
          <w:rFonts w:cs="FrankRuehl"/>
          <w:sz w:val="20"/>
          <w:szCs w:val="20"/>
          <w:rtl/>
          <w:lang w:eastAsia="en-US"/>
        </w:rPr>
        <w:t>את הנאשם עד תום ההליכים אם לאו. אך עניין זה נוגע ליישום הוראת הדין על המקרה הנדון, והוא חורג מהשאלה בדבר קיומה של סמכות לעצור</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bookmarkStart w:id="5" w:name="LastLaw"/>
      <w:r w:rsidRPr="00812ACF">
        <w:rPr>
          <w:rFonts w:cs="FrankRuehl"/>
          <w:sz w:val="20"/>
          <w:szCs w:val="20"/>
          <w:rtl/>
          <w:lang w:eastAsia="en-US"/>
        </w:rPr>
        <w:t xml:space="preserve"> הדין המסדיר את המעצר עד תום ההליכים גם אינו מבחין בין מקרה, שנאשם מועמד לדין על ידי תובע על פי כתב אישום, לבין מקרה, שהוא מועמד</w:t>
      </w:r>
      <w:r w:rsidRPr="00812ACF">
        <w:rPr>
          <w:rFonts w:cs="FrankRuehl"/>
          <w:sz w:val="20"/>
          <w:szCs w:val="20"/>
          <w:lang w:eastAsia="en-US"/>
        </w:rPr>
        <w:t xml:space="preserve"> </w:t>
      </w:r>
      <w:r w:rsidRPr="00812ACF">
        <w:rPr>
          <w:rFonts w:cs="FrankRuehl"/>
          <w:sz w:val="20"/>
          <w:szCs w:val="20"/>
          <w:rtl/>
          <w:lang w:eastAsia="en-US"/>
        </w:rPr>
        <w:t xml:space="preserve">לדין על ידי קובל על פי קובלנה פרטית. אם, לדוגמה, מגיש תובע כמובנו בסעיף </w:t>
      </w:r>
      <w:r w:rsidRPr="00812ACF">
        <w:rPr>
          <w:rFonts w:cs="FrankRuehl"/>
          <w:sz w:val="20"/>
          <w:szCs w:val="20"/>
          <w:lang w:eastAsia="en-US"/>
        </w:rPr>
        <w:t>11</w:t>
      </w:r>
      <w:r w:rsidRPr="00812ACF">
        <w:rPr>
          <w:rFonts w:cs="FrankRuehl"/>
          <w:sz w:val="20"/>
          <w:szCs w:val="20"/>
          <w:rtl/>
          <w:lang w:eastAsia="en-US"/>
        </w:rPr>
        <w:t xml:space="preserve">לחוק כתב אישום כנגד פלוני בעבירה לפי סעיף </w:t>
      </w:r>
      <w:r w:rsidRPr="00812ACF">
        <w:rPr>
          <w:rFonts w:cs="FrankRuehl"/>
          <w:sz w:val="20"/>
          <w:szCs w:val="20"/>
          <w:lang w:eastAsia="en-US"/>
        </w:rPr>
        <w:t>380</w:t>
      </w:r>
      <w:r w:rsidRPr="00812ACF">
        <w:rPr>
          <w:rFonts w:cs="FrankRuehl"/>
          <w:sz w:val="20"/>
          <w:szCs w:val="20"/>
          <w:rtl/>
          <w:lang w:eastAsia="en-US"/>
        </w:rPr>
        <w:t>ל</w:t>
      </w:r>
      <w:hyperlink r:id="rId82" w:history="1">
        <w:r w:rsidRPr="00812ACF">
          <w:rPr>
            <w:rStyle w:val="Hyperlink"/>
            <w:rFonts w:cs="FrankRuehl"/>
            <w:sz w:val="20"/>
            <w:szCs w:val="20"/>
            <w:rtl/>
            <w:lang w:eastAsia="en-US"/>
          </w:rPr>
          <w:t>חוק העונשין</w:t>
        </w:r>
      </w:hyperlink>
      <w:r w:rsidRPr="00812ACF">
        <w:rPr>
          <w:rFonts w:cs="FrankRuehl"/>
          <w:sz w:val="20"/>
          <w:szCs w:val="20"/>
          <w:rtl/>
          <w:lang w:eastAsia="en-US"/>
        </w:rPr>
        <w:t>, אין ספק שחלות לגבי הליך זה הוראות החוק בעניין מעצר עד תום ההליכים. אין הצדקה, שבגין הליך דומה כנגד פלוני לא יהיה דין דומה, רק משום שבמקום כתב אישום על ידי תובע מוגשת קובלנה פרטית על ידי הנפגע באותם מקרים שהדין מתיר הגשת קובלנה פרטית. מבחינת הצורך בתקינות ובטוהר של ההליך הפלילי וכן בשמירת טובתו של הציבור - ובמלים אחרות, מבחינת תכלית החקיקה הדנה במעצר עד תום ההליכים - אין למנוע במקרה השני את מה שמותר במקרה הראשון.</w:t>
      </w:r>
    </w:p>
    <w:bookmarkEnd w:id="5"/>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אין אני דן בשלב זה בשאלה, מתי יש להיעתר לבקשתו של קובל למעצרו של הנאשם. התייחסותי בשלב זה היא רק לשאלה, אם יש הצדקה, מבחינת תכליתו ומטרתו של הליך המעצר עד תום ההליכים של נאשם ומבחינת פרשנותו הראויה של סעיף </w:t>
      </w:r>
      <w:r w:rsidRPr="00812ACF">
        <w:rPr>
          <w:rFonts w:cs="FrankRuehl"/>
          <w:sz w:val="20"/>
          <w:szCs w:val="20"/>
          <w:lang w:eastAsia="en-US"/>
        </w:rPr>
        <w:t>70</w:t>
      </w:r>
      <w:r w:rsidRPr="00812ACF">
        <w:rPr>
          <w:rFonts w:cs="FrankRuehl"/>
          <w:sz w:val="20"/>
          <w:szCs w:val="20"/>
          <w:rtl/>
          <w:lang w:eastAsia="en-US"/>
        </w:rPr>
        <w:t>לחוק</w:t>
      </w:r>
      <w:r w:rsidRPr="00812ACF">
        <w:rPr>
          <w:rFonts w:cs="FrankRuehl"/>
          <w:sz w:val="20"/>
          <w:szCs w:val="20"/>
          <w:lang w:eastAsia="en-US"/>
        </w:rPr>
        <w:t xml:space="preserve">, </w:t>
      </w:r>
      <w:r w:rsidRPr="00812ACF">
        <w:rPr>
          <w:rFonts w:cs="FrankRuehl"/>
          <w:sz w:val="20"/>
          <w:szCs w:val="20"/>
          <w:rtl/>
          <w:lang w:eastAsia="en-US"/>
        </w:rPr>
        <w:t xml:space="preserve">למנוע אפשרות של מעצר כזה בהליך של קובלנה פרטית, בעוד שבהליך לפי אותו סעיף אישום נגד אותו נאשם, כשהוא מוגש על ידי תובע במובן החוק - אפשרות כזו קיימת. ברור בעיניי, שהתשובה לשאלה זו היא שלילית. ביסוד הדברים, אותם שיקולים פועלים בשני המקרים. על פי סעיף </w:t>
      </w:r>
      <w:r w:rsidRPr="00812ACF">
        <w:rPr>
          <w:rFonts w:cs="FrankRuehl"/>
          <w:sz w:val="20"/>
          <w:szCs w:val="20"/>
          <w:lang w:eastAsia="en-US"/>
        </w:rPr>
        <w:t>70</w:t>
      </w:r>
      <w:r w:rsidRPr="00812ACF">
        <w:rPr>
          <w:rFonts w:cs="FrankRuehl"/>
          <w:sz w:val="20"/>
          <w:szCs w:val="20"/>
          <w:rtl/>
          <w:lang w:eastAsia="en-US"/>
        </w:rPr>
        <w:t>לחוק, יש להחיל את ההוראות החלות על הליך המתנהל על פי קובלנה לזה המתנהל על פי כתב אישום, "אם אין כוונה אחרת משתמעת". לדעתי, לא משתמעת כוונה כזו, ומתחייבת השוואת המצב בשני המקרים.</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lang w:eastAsia="en-US"/>
        </w:rPr>
        <w:t xml:space="preserve"> </w:t>
      </w:r>
      <w:proofErr w:type="gramStart"/>
      <w:r w:rsidRPr="00812ACF">
        <w:rPr>
          <w:rFonts w:cs="FrankRuehl"/>
          <w:sz w:val="20"/>
          <w:szCs w:val="20"/>
          <w:lang w:eastAsia="en-US"/>
        </w:rPr>
        <w:t>.3</w:t>
      </w:r>
      <w:r w:rsidRPr="00812ACF">
        <w:rPr>
          <w:rFonts w:cs="FrankRuehl"/>
          <w:sz w:val="20"/>
          <w:szCs w:val="20"/>
          <w:rtl/>
          <w:lang w:eastAsia="en-US"/>
        </w:rPr>
        <w:t>אף שמבחינת הסמכות להורות על מעצר עד תום ההליכים קיים דין אחד במקרה</w:t>
      </w:r>
      <w:r w:rsidRPr="00812ACF">
        <w:rPr>
          <w:rFonts w:cs="FrankRuehl"/>
          <w:sz w:val="20"/>
          <w:szCs w:val="20"/>
          <w:lang w:eastAsia="en-US"/>
        </w:rPr>
        <w:t xml:space="preserve"> </w:t>
      </w:r>
      <w:r w:rsidRPr="00812ACF">
        <w:rPr>
          <w:rFonts w:cs="FrankRuehl"/>
          <w:sz w:val="20"/>
          <w:szCs w:val="20"/>
          <w:rtl/>
          <w:lang w:eastAsia="en-US"/>
        </w:rPr>
        <w:t>של הגשת כתב אישום על ידי תובע ובמקרה של הגשת קובלנה פרטית על ידי קובל, קיימות נסיבות מיוחדות, הקשורות להליך של קובלנה פרטית</w:t>
      </w:r>
      <w:r w:rsidRPr="00812ACF">
        <w:rPr>
          <w:rFonts w:cs="FrankRuehl"/>
          <w:sz w:val="20"/>
          <w:szCs w:val="20"/>
          <w:lang w:eastAsia="en-US"/>
        </w:rPr>
        <w:t>.</w:t>
      </w:r>
      <w:proofErr w:type="gramEnd"/>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על מנת להורות על מעצר עד תום ההליכים על בית המשפט להשתכנע, שקיימות ראיות לכאורה להוכחת אשמתו של הנאשם בעבירה המיוחסת לו (או בניסוח אחר </w:t>
      </w:r>
      <w:r w:rsidRPr="00812ACF">
        <w:rPr>
          <w:rFonts w:cs="FrankRuehl"/>
          <w:sz w:val="20"/>
          <w:szCs w:val="20"/>
          <w:lang w:eastAsia="en-US"/>
        </w:rPr>
        <w:softHyphen/>
      </w:r>
      <w:r w:rsidRPr="00812ACF">
        <w:rPr>
          <w:rFonts w:cs="FrankRuehl"/>
          <w:sz w:val="20"/>
          <w:szCs w:val="20"/>
          <w:rtl/>
          <w:lang w:eastAsia="en-US"/>
        </w:rPr>
        <w:t xml:space="preserve">ש"קיים סיכוי סביר להרשעתו"). בנוסף לכך עליו להשתכנע, שקיימת עילה למעצרו כאמור בסעיף </w:t>
      </w:r>
      <w:r w:rsidRPr="00812ACF">
        <w:rPr>
          <w:rFonts w:cs="FrankRuehl"/>
          <w:sz w:val="20"/>
          <w:szCs w:val="20"/>
          <w:lang w:eastAsia="en-US"/>
        </w:rPr>
        <w:t>21</w:t>
      </w:r>
      <w:r w:rsidRPr="00812ACF">
        <w:rPr>
          <w:rFonts w:cs="FrankRuehl"/>
          <w:sz w:val="20"/>
          <w:szCs w:val="20"/>
          <w:rtl/>
          <w:lang w:eastAsia="en-US"/>
        </w:rPr>
        <w:t xml:space="preserve">א, וכי אין תחליף למעצר זה (סעיף </w:t>
      </w:r>
      <w:r w:rsidRPr="00812ACF">
        <w:rPr>
          <w:rFonts w:cs="FrankRuehl"/>
          <w:sz w:val="20"/>
          <w:szCs w:val="20"/>
          <w:lang w:eastAsia="en-US"/>
        </w:rPr>
        <w:t>21</w:t>
      </w:r>
      <w:r w:rsidRPr="00812ACF">
        <w:rPr>
          <w:rFonts w:cs="FrankRuehl"/>
          <w:sz w:val="20"/>
          <w:szCs w:val="20"/>
          <w:rtl/>
          <w:lang w:eastAsia="en-US"/>
        </w:rPr>
        <w:t>א(ד) לחוק). בכל הנוגע לקובלנה פרטית מתקיימים מאפיינים מיוחדים הן באשר לדרך בה ניתן יהיה לשכנע את בית המשפט בקיום ראיות לכאורה כאמור והן מטעם נוסף.</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w:t>
      </w:r>
      <w:proofErr w:type="gramStart"/>
      <w:r w:rsidRPr="00812ACF">
        <w:rPr>
          <w:rFonts w:cs="FrankRuehl"/>
          <w:sz w:val="20"/>
          <w:szCs w:val="20"/>
          <w:lang w:eastAsia="en-US"/>
        </w:rPr>
        <w:t>.4</w:t>
      </w:r>
      <w:r w:rsidRPr="00812ACF">
        <w:rPr>
          <w:rFonts w:cs="FrankRuehl"/>
          <w:sz w:val="20"/>
          <w:szCs w:val="20"/>
          <w:rtl/>
          <w:lang w:eastAsia="en-US"/>
        </w:rPr>
        <w:t>כשמוגש כתב אישום על ידי המדינה באמצעות תובע, מצב הדברים הוא, שנערכה קודם לכן חקירה על ידי המשטרה ונמצא בידי התביעה חומר החקירה.</w:t>
      </w:r>
      <w:proofErr w:type="gramEnd"/>
      <w:r w:rsidRPr="00812ACF">
        <w:rPr>
          <w:rFonts w:cs="FrankRuehl"/>
          <w:sz w:val="20"/>
          <w:szCs w:val="20"/>
          <w:rtl/>
          <w:lang w:eastAsia="en-US"/>
        </w:rPr>
        <w:t xml:space="preserve"> לבית המשפט קיימת אפשרות לעיין בחומר זה וכך להיווכח, אם קיימות ראיות לכאורה כנגד הנאשם. הדרך לברר אם קיימות ראיות לכאורה סלולה היא. לא כך, בדרך כלל, המצב במקרה של קובלנה פרטית. לקובל</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פרטי אין הכלים והסמכויות שבידי המשטרה לניהול חקירה קודם הגשת הקובלנה. מטבע</w:t>
      </w:r>
      <w:r w:rsidRPr="00812ACF">
        <w:rPr>
          <w:rFonts w:cs="FrankRuehl"/>
          <w:sz w:val="20"/>
          <w:szCs w:val="20"/>
          <w:lang w:eastAsia="en-US"/>
        </w:rPr>
        <w:t xml:space="preserve"> </w:t>
      </w:r>
      <w:r w:rsidRPr="00812ACF">
        <w:rPr>
          <w:rFonts w:cs="FrankRuehl"/>
          <w:sz w:val="20"/>
          <w:szCs w:val="20"/>
          <w:rtl/>
          <w:lang w:eastAsia="en-US"/>
        </w:rPr>
        <w:t>הדברים, עלול להיווצר מצב, שעם הגשת הקובלנה הפרטית אין בידי הקובל חומר</w:t>
      </w:r>
      <w:r w:rsidRPr="00812ACF">
        <w:rPr>
          <w:rFonts w:cs="FrankRuehl"/>
          <w:sz w:val="20"/>
          <w:szCs w:val="20"/>
          <w:lang w:eastAsia="en-US"/>
        </w:rPr>
        <w:t xml:space="preserve"> </w:t>
      </w:r>
      <w:r w:rsidRPr="00812ACF">
        <w:rPr>
          <w:rFonts w:cs="FrankRuehl"/>
          <w:sz w:val="20"/>
          <w:szCs w:val="20"/>
          <w:rtl/>
          <w:lang w:eastAsia="en-US"/>
        </w:rPr>
        <w:t>ראיות בכתובים, שאותו יוכל להציג לפני</w:t>
      </w:r>
      <w:r w:rsidRPr="00812ACF">
        <w:rPr>
          <w:rFonts w:cs="FrankRuehl"/>
          <w:sz w:val="20"/>
          <w:szCs w:val="20"/>
          <w:lang w:eastAsia="en-US"/>
        </w:rPr>
        <w:t xml:space="preserve"> </w:t>
      </w:r>
      <w:r w:rsidRPr="00812ACF">
        <w:rPr>
          <w:rFonts w:cs="FrankRuehl"/>
          <w:sz w:val="20"/>
          <w:szCs w:val="20"/>
          <w:rtl/>
          <w:lang w:eastAsia="en-US"/>
        </w:rPr>
        <w:t>בית המשפט. לעתים קיים חומר חקירה כזה</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כך הוא כשמנהלת המשטרה חקירה, ובסופו של דבר מחליט התובע שלא להגיש כתב</w:t>
      </w:r>
      <w:r w:rsidRPr="00812ACF">
        <w:rPr>
          <w:rFonts w:cs="FrankRuehl"/>
          <w:sz w:val="20"/>
          <w:szCs w:val="20"/>
          <w:lang w:eastAsia="en-US"/>
        </w:rPr>
        <w:t xml:space="preserve"> </w:t>
      </w:r>
      <w:r w:rsidRPr="00812ACF">
        <w:rPr>
          <w:rFonts w:cs="FrankRuehl"/>
          <w:sz w:val="20"/>
          <w:szCs w:val="20"/>
          <w:rtl/>
          <w:lang w:eastAsia="en-US"/>
        </w:rPr>
        <w:t xml:space="preserve">אישום. במקרה כזה, יוכל הקובל להגיש את חומר החקירה של המשטרה לעיונו של בית המשפט - אם כחומר בלעדי, ואם בנוסף לחומר אחר בכתובים שבידו - כדי שעל פיו יוכל בית המשפט לקבוע אם קיימות ראיות לכאורה. לעתים המדובר בעבירה שיש לגביה חומר בכתב, אשר די בו להצביע על קיום עבירה לכאורה, אף שהמשטרה לא ניהלה חקירה בנדון. כך הוא, למשל, במקרה של קובלנה בשל לשון הרע, כשאת לשון הרע ניתן ללמוד מתוך עיון </w:t>
      </w:r>
      <w:proofErr w:type="spellStart"/>
      <w:r w:rsidRPr="00812ACF">
        <w:rPr>
          <w:rFonts w:cs="FrankRuehl"/>
          <w:sz w:val="20"/>
          <w:szCs w:val="20"/>
          <w:rtl/>
          <w:lang w:eastAsia="en-US"/>
        </w:rPr>
        <w:t>בפירסום</w:t>
      </w:r>
      <w:proofErr w:type="spellEnd"/>
      <w:r w:rsidRPr="00812ACF">
        <w:rPr>
          <w:rFonts w:cs="FrankRuehl"/>
          <w:sz w:val="20"/>
          <w:szCs w:val="20"/>
          <w:rtl/>
          <w:lang w:eastAsia="en-US"/>
        </w:rPr>
        <w:t xml:space="preserve"> שנעשה בכתובים. ואולם במקרים רבים אחרים לא יהיה חומר חקירה כזה: לא התנהלה חקירה על ידי המשטרה, והקובלנה מבוססת על עדויות אשר לא הועלו על הכתב.</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במקרים אלה, כשנדרש בית המשפט להחליט אם קיימות ראיות לכאורה להוכחת האשמה על פי הקובלנה, מן ההכרח שתימצא דרך להביא לידיעת בית המשפט, מהו חומר הראיות העומד נגד הנאשם. הדבר עלול להיות כרוך בקשיים, שכן את </w:t>
      </w:r>
      <w:proofErr w:type="spellStart"/>
      <w:r w:rsidRPr="00812ACF">
        <w:rPr>
          <w:rFonts w:cs="FrankRuehl"/>
          <w:sz w:val="20"/>
          <w:szCs w:val="20"/>
          <w:rtl/>
          <w:lang w:eastAsia="en-US"/>
        </w:rPr>
        <w:t>גירסת</w:t>
      </w:r>
      <w:proofErr w:type="spellEnd"/>
      <w:r w:rsidRPr="00812ACF">
        <w:rPr>
          <w:rFonts w:cs="FrankRuehl"/>
          <w:sz w:val="20"/>
          <w:szCs w:val="20"/>
          <w:rtl/>
          <w:lang w:eastAsia="en-US"/>
        </w:rPr>
        <w:t xml:space="preserve"> הנאשם ועדיו יקשה על הקובל להביא לפני בית המשפט, על מנת שזה יוכל לתת דעתו על מערכת העובדות כולה.</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אין צורך במסגרת פסק דין זה לפרט את כל הדרכים בהן תובאנה הראיות כנגד</w:t>
      </w:r>
      <w:r w:rsidRPr="00812ACF">
        <w:rPr>
          <w:rFonts w:cs="FrankRuehl"/>
          <w:sz w:val="20"/>
          <w:szCs w:val="20"/>
          <w:lang w:eastAsia="en-US"/>
        </w:rPr>
        <w:t xml:space="preserve"> </w:t>
      </w:r>
      <w:r w:rsidRPr="00812ACF">
        <w:rPr>
          <w:rFonts w:cs="FrankRuehl"/>
          <w:sz w:val="20"/>
          <w:szCs w:val="20"/>
          <w:rtl/>
          <w:lang w:eastAsia="en-US"/>
        </w:rPr>
        <w:t>הנאשם, בנסיבות כאמור, לידיעת בית המשפט. יש להניח, שבדרך כלל ישקול בית</w:t>
      </w:r>
      <w:r w:rsidRPr="00812ACF">
        <w:rPr>
          <w:rFonts w:cs="FrankRuehl"/>
          <w:sz w:val="20"/>
          <w:szCs w:val="20"/>
          <w:lang w:eastAsia="en-US"/>
        </w:rPr>
        <w:t xml:space="preserve"> </w:t>
      </w:r>
      <w:r w:rsidRPr="00812ACF">
        <w:rPr>
          <w:rFonts w:cs="FrankRuehl"/>
          <w:sz w:val="20"/>
          <w:szCs w:val="20"/>
          <w:rtl/>
          <w:lang w:eastAsia="en-US"/>
        </w:rPr>
        <w:t>המשפט תחילה, אם, מעיקרו של דבר, ראוי המקרה למעצר עד תום ההליכים, ואם לאו</w:t>
      </w:r>
      <w:r w:rsidRPr="00812ACF">
        <w:rPr>
          <w:rFonts w:cs="FrankRuehl"/>
          <w:sz w:val="20"/>
          <w:szCs w:val="20"/>
          <w:lang w:eastAsia="en-US"/>
        </w:rPr>
        <w:t xml:space="preserve"> -</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לא יתחבט ולא יידרש להכריע בשאלה, אם קיימות ראיות לכאורה. כאשר יסבור שההחלטה בדבר המעצר עד תום ההליכים תלויה בשאלה אם קיימות</w:t>
      </w:r>
      <w:r w:rsidRPr="00812ACF">
        <w:rPr>
          <w:rFonts w:cs="FrankRuehl"/>
          <w:sz w:val="20"/>
          <w:szCs w:val="20"/>
          <w:lang w:eastAsia="en-US"/>
        </w:rPr>
        <w:t xml:space="preserve"> </w:t>
      </w:r>
      <w:r w:rsidRPr="00812ACF">
        <w:rPr>
          <w:rFonts w:cs="FrankRuehl"/>
          <w:sz w:val="20"/>
          <w:szCs w:val="20"/>
          <w:rtl/>
          <w:lang w:eastAsia="en-US"/>
        </w:rPr>
        <w:t>ראיות כאלה, יאפשר לקובל להביא לפניו ראיות בכתב - אם על ידי תצהירים או בדרך אחרת אשר ימצא לנכון</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lang w:eastAsia="en-US"/>
        </w:rPr>
        <w:t xml:space="preserve"> .5</w:t>
      </w:r>
      <w:r w:rsidRPr="00812ACF">
        <w:rPr>
          <w:rFonts w:cs="FrankRuehl"/>
          <w:sz w:val="20"/>
          <w:szCs w:val="20"/>
          <w:rtl/>
          <w:lang w:eastAsia="en-US"/>
        </w:rPr>
        <w:t>קיים מאפיין נוסף לקובלנה פרטית המתנהלת על ידי קובל: הדיון מתקיים</w:t>
      </w:r>
      <w:r w:rsidRPr="00812ACF">
        <w:rPr>
          <w:rFonts w:cs="FrankRuehl"/>
          <w:sz w:val="20"/>
          <w:szCs w:val="20"/>
          <w:lang w:eastAsia="en-US"/>
        </w:rPr>
        <w:t xml:space="preserve"> </w:t>
      </w:r>
      <w:r w:rsidRPr="00812ACF">
        <w:rPr>
          <w:rFonts w:cs="FrankRuehl"/>
          <w:sz w:val="20"/>
          <w:szCs w:val="20"/>
          <w:rtl/>
          <w:lang w:eastAsia="en-US"/>
        </w:rPr>
        <w:t>לאחר שפרקליט המחוז, שאליו הועבר העתק הקובלנה, החליט שאין לו עניין לנהל את התביעה נגד הנאשם</w:t>
      </w:r>
      <w:r w:rsidRPr="00812ACF">
        <w:rPr>
          <w:rFonts w:cs="FrankRuehl"/>
          <w:sz w:val="20"/>
          <w:szCs w:val="20"/>
          <w:lang w:eastAsia="en-US"/>
        </w:rPr>
        <w:t xml:space="preserve">. </w:t>
      </w:r>
      <w:r w:rsidRPr="00812ACF">
        <w:rPr>
          <w:rFonts w:cs="FrankRuehl"/>
          <w:sz w:val="20"/>
          <w:szCs w:val="20"/>
          <w:rtl/>
          <w:lang w:eastAsia="en-US"/>
        </w:rPr>
        <w:t>בחלק מהמקרים גם מוגשת הקובלנה לאחר שהתובע החליט שאין ראיות מספיקות להוכחת האשמה או שאין עניין לציבור בהגשת כתב האישום על ידיו. בנסיבות כאלה לא תהיה, ברוב רובם של המקרים, עילה מספקת לעצור את הנאשם עד תום ההליכים. אין גם לשכוח, שבמקרים בהם מותרת הגשת הקובלנה הפרטית, המדובר בעבירות קלות יחסית. אכן, לא מקרה הוא שמשך עשרות שנים, בהן נוהג מוסד הקובלנה הפרטית במשפטנו, טרם התעורר הצורך להכריע בשאלה אם מוסמך בית המשפט לעצור נאשם עד תום ההליכים בהליך המתנהל בדרך של קובלנה פרטית. ככל שהצלחתי לברר, לא היה אף מקרה של מעצר כזה עד תום ההליכים. עתה, משקבענו שבית המשפט מוסמך לכך, קיים חשש, שקובלים למיניהם יבקשו לעשות שימוש בסמכותו זו של בית המשפט וינצלוה לרעה, כפי שמצביעה על אפשרות זו חברתי הנכבדה, השופטת נתניהו, בפסק דינה. ראוי, על כן, לומר כבר עתה, שאף כי מוקנית לבית המשפט סמכות כאמור, מטבע הדברים רק במקרים מיוחדים ונדירים יהיה זה מוצדק לעצור נאשם עד תום ההליכים בהליך של קובלנה פרטית. ראוי גם ראוי להתריע מפני ניצול לרעה של אפשרות זו</w:t>
      </w:r>
      <w:r w:rsidRPr="00812ACF">
        <w:rPr>
          <w:rFonts w:cs="FrankRuehl"/>
          <w:sz w:val="20"/>
          <w:szCs w:val="20"/>
          <w:lang w:eastAsia="en-US"/>
        </w:rPr>
        <w:t xml:space="preserve"> </w:t>
      </w:r>
      <w:r w:rsidRPr="00812ACF">
        <w:rPr>
          <w:rFonts w:cs="FrankRuehl"/>
          <w:sz w:val="20"/>
          <w:szCs w:val="20"/>
          <w:rtl/>
          <w:lang w:eastAsia="en-US"/>
        </w:rPr>
        <w:cr/>
      </w:r>
      <w:r w:rsidRPr="00812ACF">
        <w:rPr>
          <w:rFonts w:cs="FrankRuehl"/>
          <w:sz w:val="20"/>
          <w:szCs w:val="20"/>
          <w:rtl/>
          <w:lang w:eastAsia="en-US"/>
        </w:rPr>
        <w:br w:type="page"/>
      </w:r>
      <w:r w:rsidRPr="00812ACF">
        <w:rPr>
          <w:rFonts w:cs="FrankRuehl"/>
          <w:sz w:val="20"/>
          <w:szCs w:val="20"/>
          <w:rtl/>
          <w:lang w:eastAsia="en-US"/>
        </w:rPr>
        <w:lastRenderedPageBreak/>
        <w:t>על ידי הגשת בקשות למעצר עד תום ההליכים על ידי קובלים, ללא שיש לכך כל</w:t>
      </w:r>
      <w:r w:rsidRPr="00812ACF">
        <w:rPr>
          <w:rFonts w:cs="FrankRuehl"/>
          <w:sz w:val="20"/>
          <w:szCs w:val="20"/>
          <w:lang w:eastAsia="en-US"/>
        </w:rPr>
        <w:t xml:space="preserve"> </w:t>
      </w:r>
      <w:r w:rsidRPr="00812ACF">
        <w:rPr>
          <w:rFonts w:cs="FrankRuehl"/>
          <w:sz w:val="20"/>
          <w:szCs w:val="20"/>
          <w:rtl/>
          <w:lang w:eastAsia="en-US"/>
        </w:rPr>
        <w:t>הצדקה. אין צורך לומר, שעצם הגשת הבקשה כאמור והצורך בהתדיינות בה מצד נאשם יש בהם הטרדה ואי נוחות רבים, אפילו אם בסופו של דבר תידחה הבקשה</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color w:val="FFFFFF"/>
          <w:sz w:val="20"/>
          <w:szCs w:val="20"/>
          <w:rtl/>
          <w:lang w:eastAsia="en-US"/>
        </w:rPr>
      </w:pPr>
    </w:p>
    <w:p w:rsidR="00812ACF" w:rsidRPr="00812ACF" w:rsidRDefault="00812ACF" w:rsidP="00812ACF">
      <w:pPr>
        <w:tabs>
          <w:tab w:val="left" w:pos="288"/>
          <w:tab w:val="left" w:pos="720"/>
          <w:tab w:val="left" w:pos="1296"/>
        </w:tabs>
        <w:spacing w:after="80" w:line="260" w:lineRule="exact"/>
        <w:ind w:firstLine="283"/>
        <w:rPr>
          <w:rFonts w:cs="FrankRuehl"/>
          <w:color w:val="FFFFFF"/>
          <w:sz w:val="20"/>
          <w:szCs w:val="20"/>
          <w:rtl/>
          <w:lang w:eastAsia="en-US"/>
        </w:rPr>
      </w:pPr>
      <w:r w:rsidRPr="00812ACF">
        <w:rPr>
          <w:rFonts w:cs="FrankRuehl"/>
          <w:color w:val="FFFFFF"/>
          <w:sz w:val="20"/>
          <w:szCs w:val="20"/>
          <w:rtl/>
          <w:lang w:eastAsia="en-US"/>
        </w:rPr>
        <w:t>5129371</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color w:val="FFFFFF"/>
          <w:sz w:val="20"/>
          <w:szCs w:val="20"/>
          <w:rtl/>
          <w:lang w:eastAsia="en-US"/>
        </w:rPr>
        <w:t>54678313</w:t>
      </w:r>
      <w:r w:rsidRPr="00812ACF">
        <w:rPr>
          <w:rFonts w:cs="FrankRuehl"/>
          <w:sz w:val="20"/>
          <w:szCs w:val="20"/>
          <w:rtl/>
          <w:lang w:eastAsia="en-US"/>
        </w:rPr>
        <w:t xml:space="preserve"> </w:t>
      </w:r>
      <w:r w:rsidRPr="00812ACF">
        <w:rPr>
          <w:rFonts w:cs="FrankRuehl"/>
          <w:sz w:val="20"/>
          <w:szCs w:val="20"/>
          <w:lang w:eastAsia="en-US"/>
        </w:rPr>
        <w:t>.6</w:t>
      </w:r>
      <w:r w:rsidRPr="00812ACF">
        <w:rPr>
          <w:rFonts w:cs="FrankRuehl"/>
          <w:sz w:val="20"/>
          <w:szCs w:val="20"/>
          <w:rtl/>
          <w:lang w:eastAsia="en-US"/>
        </w:rPr>
        <w:t>כאמור לעיל, מצטרף אני לפסק דינה של חברתי הנכבדה, השופטת נתניהו</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r w:rsidRPr="00812ACF">
        <w:rPr>
          <w:rFonts w:cs="FrankRuehl"/>
          <w:sz w:val="20"/>
          <w:szCs w:val="20"/>
          <w:rtl/>
          <w:lang w:eastAsia="en-US"/>
        </w:rPr>
        <w:t xml:space="preserve"> השופט א' מצא: מסכים אני לפסק דינה של חברתי הנכבדה, השופטת נתניהו, וכן להערותיו של חברי הנכבד, השופט אור.</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הוחלט כאמור בפסק דינה של השופטת נתניהו</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lang w:eastAsia="en-US"/>
        </w:rPr>
      </w:pPr>
      <w:r w:rsidRPr="00812ACF">
        <w:rPr>
          <w:rFonts w:cs="FrankRuehl"/>
          <w:sz w:val="20"/>
          <w:szCs w:val="20"/>
          <w:rtl/>
          <w:lang w:eastAsia="en-US"/>
        </w:rPr>
        <w:t xml:space="preserve"> ניתן היום, ט"ו בסיוון תשנ"ב (</w:t>
      </w:r>
      <w:r w:rsidRPr="00812ACF">
        <w:rPr>
          <w:rFonts w:cs="FrankRuehl"/>
          <w:sz w:val="20"/>
          <w:szCs w:val="20"/>
          <w:lang w:eastAsia="en-US"/>
        </w:rPr>
        <w:t>16.6.92</w:t>
      </w:r>
      <w:r w:rsidRPr="00812ACF">
        <w:rPr>
          <w:rFonts w:cs="FrankRuehl"/>
          <w:sz w:val="20"/>
          <w:szCs w:val="20"/>
          <w:rtl/>
          <w:lang w:eastAsia="en-US"/>
        </w:rPr>
        <w:t>)</w:t>
      </w:r>
      <w:r w:rsidRPr="00812ACF">
        <w:rPr>
          <w:rFonts w:cs="FrankRuehl"/>
          <w:sz w:val="20"/>
          <w:szCs w:val="20"/>
          <w:lang w:eastAsia="en-US"/>
        </w:rPr>
        <w:t>.</w:t>
      </w:r>
    </w:p>
    <w:p w:rsidR="00812ACF" w:rsidRPr="00812ACF" w:rsidRDefault="00812ACF" w:rsidP="00812ACF">
      <w:pPr>
        <w:tabs>
          <w:tab w:val="left" w:pos="288"/>
          <w:tab w:val="left" w:pos="720"/>
          <w:tab w:val="left" w:pos="1296"/>
        </w:tabs>
        <w:spacing w:after="80" w:line="260" w:lineRule="exact"/>
        <w:ind w:firstLine="283"/>
        <w:rPr>
          <w:rFonts w:cs="FrankRuehl"/>
          <w:sz w:val="20"/>
          <w:szCs w:val="20"/>
          <w:rtl/>
          <w:lang w:eastAsia="en-US"/>
        </w:rPr>
      </w:pPr>
    </w:p>
    <w:p w:rsidR="00812ACF" w:rsidRPr="00812ACF" w:rsidRDefault="00812ACF" w:rsidP="00812ACF">
      <w:pPr>
        <w:tabs>
          <w:tab w:val="left" w:pos="288"/>
          <w:tab w:val="left" w:pos="720"/>
          <w:tab w:val="left" w:pos="1296"/>
        </w:tabs>
        <w:spacing w:after="80" w:line="260" w:lineRule="exact"/>
        <w:ind w:firstLine="283"/>
        <w:jc w:val="center"/>
        <w:rPr>
          <w:rFonts w:cs="David"/>
          <w:color w:val="0000FF"/>
          <w:sz w:val="20"/>
          <w:szCs w:val="20"/>
          <w:u w:val="single"/>
          <w:rtl/>
          <w:lang w:eastAsia="en-US"/>
        </w:rPr>
      </w:pPr>
      <w:hyperlink r:id="rId83" w:history="1">
        <w:r w:rsidRPr="00812ACF">
          <w:rPr>
            <w:rStyle w:val="Hyperlink"/>
            <w:sz w:val="20"/>
            <w:szCs w:val="20"/>
            <w:rtl/>
          </w:rPr>
          <w:t>הודעה למנויים על עריכה ושינויים במסמכי פסיקה, חקיקה ועוד באתר נבו - הקש כאן</w:t>
        </w:r>
      </w:hyperlink>
    </w:p>
    <w:p w:rsidR="00812ACF" w:rsidRPr="00812ACF" w:rsidRDefault="00812ACF" w:rsidP="00812ACF">
      <w:pPr>
        <w:tabs>
          <w:tab w:val="left" w:pos="288"/>
          <w:tab w:val="left" w:pos="720"/>
          <w:tab w:val="left" w:pos="1296"/>
        </w:tabs>
        <w:spacing w:after="80" w:line="260" w:lineRule="exact"/>
        <w:ind w:firstLine="283"/>
        <w:jc w:val="center"/>
        <w:rPr>
          <w:rFonts w:cs="David"/>
          <w:color w:val="0000FF"/>
          <w:sz w:val="20"/>
          <w:szCs w:val="20"/>
          <w:u w:val="single"/>
          <w:lang w:eastAsia="en-US"/>
        </w:rPr>
      </w:pPr>
    </w:p>
    <w:p w:rsidR="00A95E42" w:rsidRPr="00812ACF" w:rsidRDefault="00A95E42" w:rsidP="00812ACF">
      <w:pPr>
        <w:rPr>
          <w:sz w:val="20"/>
          <w:szCs w:val="20"/>
        </w:rPr>
      </w:pPr>
    </w:p>
    <w:sectPr w:rsidR="00A95E42" w:rsidRPr="00812ACF" w:rsidSect="00C2019F">
      <w:footerReference w:type="default" r:id="rId84"/>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50" w:rsidRDefault="00BA2C50" w:rsidP="00E22E48">
      <w:pPr>
        <w:spacing w:before="0" w:line="240" w:lineRule="auto"/>
      </w:pPr>
      <w:r>
        <w:separator/>
      </w:r>
    </w:p>
  </w:endnote>
  <w:endnote w:type="continuationSeparator" w:id="0">
    <w:p w:rsidR="00BA2C50" w:rsidRDefault="00BA2C50"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B526B4">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812ACF">
      <w:rPr>
        <w:rStyle w:val="a8"/>
        <w:noProof/>
        <w:rtl/>
      </w:rPr>
      <w:t>18</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50" w:rsidRDefault="00BA2C50" w:rsidP="00E22E48">
      <w:pPr>
        <w:spacing w:before="0" w:line="240" w:lineRule="auto"/>
      </w:pPr>
      <w:r>
        <w:separator/>
      </w:r>
    </w:p>
  </w:footnote>
  <w:footnote w:type="continuationSeparator" w:id="0">
    <w:p w:rsidR="00BA2C50" w:rsidRDefault="00BA2C50"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38D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20C7"/>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8A7"/>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414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5542"/>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C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105"/>
    <w:rsid w:val="007C5B2E"/>
    <w:rsid w:val="007C62DB"/>
    <w:rsid w:val="007D01D9"/>
    <w:rsid w:val="007D2882"/>
    <w:rsid w:val="007D33FE"/>
    <w:rsid w:val="007D3684"/>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ACF"/>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21D6"/>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54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426A"/>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1ADD"/>
    <w:rsid w:val="00B4554A"/>
    <w:rsid w:val="00B46754"/>
    <w:rsid w:val="00B46D1A"/>
    <w:rsid w:val="00B50FE7"/>
    <w:rsid w:val="00B515DC"/>
    <w:rsid w:val="00B526B4"/>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2C50"/>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D7C11"/>
    <w:rsid w:val="00DE03AE"/>
    <w:rsid w:val="00DE2B97"/>
    <w:rsid w:val="00DE3DA9"/>
    <w:rsid w:val="00DE50F9"/>
    <w:rsid w:val="00DE5759"/>
    <w:rsid w:val="00DE5D1D"/>
    <w:rsid w:val="00DE720A"/>
    <w:rsid w:val="00DE75EF"/>
    <w:rsid w:val="00DF1E94"/>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03FC"/>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 w:type="paragraph" w:customStyle="1" w:styleId="TableInnerSideHeading">
    <w:name w:val="Table InnerSideHeading"/>
    <w:basedOn w:val="TableSideHeading"/>
    <w:uiPriority w:val="99"/>
    <w:rsid w:val="007A1C4A"/>
  </w:style>
  <w:style w:type="paragraph" w:customStyle="1" w:styleId="Hesber1st">
    <w:name w:val="Hesber 1st"/>
    <w:basedOn w:val="Hesber"/>
    <w:uiPriority w:val="99"/>
    <w:rsid w:val="007A1C4A"/>
    <w:pPr>
      <w:tabs>
        <w:tab w:val="left" w:pos="680"/>
        <w:tab w:val="left" w:pos="1020"/>
      </w:tabs>
      <w:ind w:firstLine="0"/>
    </w:pPr>
  </w:style>
  <w:style w:type="paragraph" w:customStyle="1" w:styleId="TableBlockOutdent">
    <w:name w:val="Table BlockOutdent"/>
    <w:basedOn w:val="TableBlock"/>
    <w:uiPriority w:val="99"/>
    <w:rsid w:val="003D414D"/>
    <w:pPr>
      <w:ind w:left="624" w:hanging="624"/>
    </w:pPr>
  </w:style>
  <w:style w:type="character" w:styleId="Hyperlink">
    <w:name w:val="Hyperlink"/>
    <w:basedOn w:val="a0"/>
    <w:rsid w:val="003D414D"/>
    <w:rPr>
      <w:rFonts w:cs="Times New Roman"/>
      <w:b/>
      <w:bCs/>
      <w:color w:val="517827"/>
      <w:u w:val="none"/>
      <w:effect w:val="none"/>
      <w:bdr w:val="none" w:sz="0" w:space="0" w:color="auto" w:frame="1"/>
    </w:rPr>
  </w:style>
  <w:style w:type="paragraph" w:customStyle="1" w:styleId="Noparagraphstyle">
    <w:name w:val="[No paragraph style]"/>
    <w:uiPriority w:val="99"/>
    <w:rsid w:val="00AA426A"/>
    <w:pPr>
      <w:widowControl w:val="0"/>
      <w:autoSpaceDE w:val="0"/>
      <w:autoSpaceDN w:val="0"/>
      <w:bidi/>
      <w:adjustRightInd w:val="0"/>
      <w:snapToGrid w:val="0"/>
      <w:spacing w:after="0" w:line="360" w:lineRule="auto"/>
      <w:textAlignment w:val="center"/>
    </w:pPr>
    <w:rPr>
      <w:rFonts w:ascii="Arial" w:eastAsia="Arial Unicode MS" w:hAnsi="Arial" w:cs="Arial Unicode MS"/>
      <w:color w:val="000000"/>
      <w:sz w:val="20"/>
      <w:szCs w:val="26"/>
      <w:lang w:eastAsia="ja-JP"/>
    </w:rPr>
  </w:style>
  <w:style w:type="paragraph" w:styleId="ac">
    <w:name w:val="Title"/>
    <w:basedOn w:val="a"/>
    <w:link w:val="ad"/>
    <w:uiPriority w:val="99"/>
    <w:qFormat/>
    <w:rsid w:val="00AA426A"/>
    <w:pPr>
      <w:widowControl/>
      <w:autoSpaceDE/>
      <w:autoSpaceDN/>
      <w:adjustRightInd/>
      <w:spacing w:before="0" w:line="240" w:lineRule="auto"/>
      <w:ind w:firstLine="0"/>
      <w:jc w:val="center"/>
      <w:textAlignment w:val="auto"/>
    </w:pPr>
    <w:rPr>
      <w:rFonts w:ascii="Times New Roman" w:eastAsia="Times New Roman" w:hAnsi="Times New Roman" w:cs="Times New Roman"/>
      <w:b/>
      <w:bCs/>
      <w:color w:val="auto"/>
      <w:spacing w:val="0"/>
      <w:sz w:val="28"/>
      <w:szCs w:val="28"/>
      <w:u w:val="single"/>
      <w:lang w:eastAsia="he-IL"/>
    </w:rPr>
  </w:style>
  <w:style w:type="character" w:customStyle="1" w:styleId="ad">
    <w:name w:val="תואר תו"/>
    <w:basedOn w:val="a0"/>
    <w:link w:val="ac"/>
    <w:uiPriority w:val="99"/>
    <w:rsid w:val="00AA426A"/>
    <w:rPr>
      <w:rFonts w:ascii="Times New Roman" w:eastAsia="Times New Roman" w:hAnsi="Times New Roman" w:cs="Times New Roman"/>
      <w:b/>
      <w:bCs/>
      <w:sz w:val="28"/>
      <w:szCs w:val="28"/>
      <w:u w:val="single"/>
      <w:lang w:eastAsia="he-IL"/>
    </w:rPr>
  </w:style>
  <w:style w:type="paragraph" w:styleId="ae">
    <w:name w:val="Body Text"/>
    <w:basedOn w:val="a"/>
    <w:link w:val="af"/>
    <w:uiPriority w:val="99"/>
    <w:rsid w:val="00DD7C11"/>
    <w:pPr>
      <w:widowControl/>
      <w:autoSpaceDE/>
      <w:autoSpaceDN/>
      <w:adjustRightInd/>
      <w:spacing w:before="0" w:line="240" w:lineRule="auto"/>
      <w:ind w:firstLine="0"/>
      <w:textAlignment w:val="auto"/>
    </w:pPr>
    <w:rPr>
      <w:rFonts w:ascii="Times New Roman" w:eastAsiaTheme="minorEastAsia" w:hAnsi="Times New Roman" w:cs="Times New Roman"/>
      <w:color w:val="auto"/>
      <w:spacing w:val="0"/>
      <w:sz w:val="20"/>
      <w:szCs w:val="24"/>
      <w:lang w:eastAsia="he-IL"/>
    </w:rPr>
  </w:style>
  <w:style w:type="character" w:customStyle="1" w:styleId="af">
    <w:name w:val="גוף טקסט תו"/>
    <w:basedOn w:val="a0"/>
    <w:link w:val="ae"/>
    <w:uiPriority w:val="99"/>
    <w:rsid w:val="00DD7C11"/>
    <w:rPr>
      <w:rFonts w:ascii="Times New Roman" w:eastAsiaTheme="minorEastAsia" w:hAnsi="Times New Roman" w:cs="Times New Roman"/>
      <w:sz w:val="20"/>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P224K2_001.htm" TargetMode="External"/><Relationship Id="rId18" Type="http://schemas.openxmlformats.org/officeDocument/2006/relationships/hyperlink" Target="http://www.nevo.co.il/law_html/law01/190_026.htm" TargetMode="External"/><Relationship Id="rId26" Type="http://schemas.openxmlformats.org/officeDocument/2006/relationships/hyperlink" Target="http://www.nevo.co.il/law_html/law01/130_003.htm" TargetMode="External"/><Relationship Id="rId39" Type="http://schemas.openxmlformats.org/officeDocument/2006/relationships/hyperlink" Target="http://www.nevo.co.il/links/psika/?link=&#1506;&#1508;%20152/63&amp;Pvol=&#1497;&#1495;" TargetMode="External"/><Relationship Id="rId21" Type="http://schemas.openxmlformats.org/officeDocument/2006/relationships/hyperlink" Target="http://www.nevo.co.il/law_html/law01/251_001.htm" TargetMode="External"/><Relationship Id="rId34" Type="http://schemas.openxmlformats.org/officeDocument/2006/relationships/hyperlink" Target="http://www.nevo.co.il/law_html/law01/055_096.htm" TargetMode="External"/><Relationship Id="rId42" Type="http://schemas.openxmlformats.org/officeDocument/2006/relationships/hyperlink" Target="http://www.nevo.co.il/links/psika/?link=&#1489;&#1513;%20418/91" TargetMode="External"/><Relationship Id="rId47" Type="http://schemas.openxmlformats.org/officeDocument/2006/relationships/hyperlink" Target="http://www.nevo.co.il/law_html/law01/073_002.htm" TargetMode="External"/><Relationship Id="rId50" Type="http://schemas.openxmlformats.org/officeDocument/2006/relationships/hyperlink" Target="http://www.nevo.co.il/links/law/?link=&#1495;&#1493;&#1511;%20&#1492;&#1489;&#1495;&#1497;&#1512;&#1493;&#1514;" TargetMode="External"/><Relationship Id="rId55" Type="http://schemas.openxmlformats.org/officeDocument/2006/relationships/hyperlink" Target="http://www.nevo.co.il/law_html/law01/044_001.htm" TargetMode="External"/><Relationship Id="rId63" Type="http://schemas.openxmlformats.org/officeDocument/2006/relationships/hyperlink" Target="http://www.nevo.co.il/law_html/law01/087_001.htm" TargetMode="External"/><Relationship Id="rId68" Type="http://schemas.openxmlformats.org/officeDocument/2006/relationships/hyperlink" Target="http://www.nevo.co.il/law_html/law01/087_001.htm" TargetMode="External"/><Relationship Id="rId76" Type="http://schemas.openxmlformats.org/officeDocument/2006/relationships/hyperlink" Target="http://www.nevo.co.il/links/psika/?link=&#1489;&#1513;%20436/91" TargetMode="External"/><Relationship Id="rId84" Type="http://schemas.openxmlformats.org/officeDocument/2006/relationships/footer" Target="footer1.xml"/><Relationship Id="rId7" Type="http://schemas.openxmlformats.org/officeDocument/2006/relationships/hyperlink" Target="http://www.nevo.co.il/law_html/law01/055_096.htm" TargetMode="External"/><Relationship Id="rId71" Type="http://schemas.openxmlformats.org/officeDocument/2006/relationships/hyperlink" Target="http://www.nevo.co.il/links/psika/?link=&#1489;&#1490;&#1509;%20110/50" TargetMode="External"/><Relationship Id="rId2" Type="http://schemas.openxmlformats.org/officeDocument/2006/relationships/styles" Target="styles.xml"/><Relationship Id="rId16" Type="http://schemas.openxmlformats.org/officeDocument/2006/relationships/hyperlink" Target="http://www.nevo.co.il/law_html/law01/305_004.htm" TargetMode="External"/><Relationship Id="rId29" Type="http://schemas.openxmlformats.org/officeDocument/2006/relationships/hyperlink" Target="http://www.nevo.co.il/law_html/law01/073_002.htm" TargetMode="External"/><Relationship Id="rId11" Type="http://schemas.openxmlformats.org/officeDocument/2006/relationships/hyperlink" Target="http://www.nevo.co.il/law_html/law01/019_002.htm" TargetMode="External"/><Relationship Id="rId24" Type="http://schemas.openxmlformats.org/officeDocument/2006/relationships/hyperlink" Target="http://www.nevo.co.il/law_html/law01/306_001.htm" TargetMode="External"/><Relationship Id="rId32" Type="http://schemas.openxmlformats.org/officeDocument/2006/relationships/hyperlink" Target="http://www.nevo.co.il/law_html/law01/055_096.htm" TargetMode="External"/><Relationship Id="rId37" Type="http://schemas.openxmlformats.org/officeDocument/2006/relationships/hyperlink" Target="http://www.nevo.co.il/links/psika/?link=&#1489;&#1490;&#1509;%20156/66&amp;Pvol=&#1497;&#1488;" TargetMode="External"/><Relationship Id="rId40" Type="http://schemas.openxmlformats.org/officeDocument/2006/relationships/hyperlink" Target="http://www.nevo.co.il/links/psika/?link=&#1489;&#1513;%20436/91" TargetMode="External"/><Relationship Id="rId45" Type="http://schemas.openxmlformats.org/officeDocument/2006/relationships/hyperlink" Target="http://www.nevo.co.il/links/books/?link=&#1497;&#1505;&#1493;&#1491;&#1493;&#1514;%20&#1489;&#1491;&#1497;&#1504;&#1497;%20&#1506;&#1493;&#1504;&#1513;&#1497;&#1503;" TargetMode="External"/><Relationship Id="rId53" Type="http://schemas.openxmlformats.org/officeDocument/2006/relationships/hyperlink" Target="http://www.nevo.co.il/law_html/law01/019_002.htm" TargetMode="External"/><Relationship Id="rId58" Type="http://schemas.openxmlformats.org/officeDocument/2006/relationships/hyperlink" Target="http://www.nevo.co.il/law_html/law01/055_096.htm" TargetMode="External"/><Relationship Id="rId66" Type="http://schemas.openxmlformats.org/officeDocument/2006/relationships/hyperlink" Target="http://www.nevo.co.il/law_html/law01/235_001.htm" TargetMode="External"/><Relationship Id="rId74" Type="http://schemas.openxmlformats.org/officeDocument/2006/relationships/hyperlink" Target="http://www.nevo.co.il/law_html/law01/306_001.htm" TargetMode="External"/><Relationship Id="rId79" Type="http://schemas.openxmlformats.org/officeDocument/2006/relationships/hyperlink" Target="http://www.nevo.co.il/law_html/law01/130_003.htm" TargetMode="External"/><Relationship Id="rId5" Type="http://schemas.openxmlformats.org/officeDocument/2006/relationships/footnotes" Target="footnotes.xml"/><Relationship Id="rId61" Type="http://schemas.openxmlformats.org/officeDocument/2006/relationships/hyperlink" Target="http://www.nevo.co.il/links/law/?link=&#1495;&#1493;&#1511;%20&#1492;&#1489;&#1495;&#1497;&#1512;&#1493;&#1514;" TargetMode="External"/><Relationship Id="rId82" Type="http://schemas.openxmlformats.org/officeDocument/2006/relationships/hyperlink" Target="http://www.nevo.co.il/law_html/law01/073_002.htm" TargetMode="External"/><Relationship Id="rId19" Type="http://schemas.openxmlformats.org/officeDocument/2006/relationships/hyperlink" Target="http://www.nevo.co.il/links/law/?link=&#1495;&#1493;&#1511;%20&#1492;&#1512;&#1513;&#1493;&#1497;&#1493;&#1514;%20&#1492;&#1502;&#1511;&#1493;&#1502;&#1497;&#1493;&#1514;%20(&#1489;&#1495;&#1497;&#1512;&#1493;&#1514;)" TargetMode="External"/><Relationship Id="rId4" Type="http://schemas.openxmlformats.org/officeDocument/2006/relationships/webSettings" Target="webSettings.xml"/><Relationship Id="rId9" Type="http://schemas.openxmlformats.org/officeDocument/2006/relationships/hyperlink" Target="http://www.nevo.co.il/law_html/law01/055_127.htm" TargetMode="External"/><Relationship Id="rId14" Type="http://schemas.openxmlformats.org/officeDocument/2006/relationships/hyperlink" Target="http://www.nevo.co.il/law_html/law01/235_001.htm" TargetMode="External"/><Relationship Id="rId22" Type="http://schemas.openxmlformats.org/officeDocument/2006/relationships/hyperlink" Target="http://www.nevo.co.il/law_html/law01/235_001.htm" TargetMode="External"/><Relationship Id="rId27" Type="http://schemas.openxmlformats.org/officeDocument/2006/relationships/hyperlink" Target="http://www.nevo.co.il/law_html/law01/055_096.htm" TargetMode="External"/><Relationship Id="rId30" Type="http://schemas.openxmlformats.org/officeDocument/2006/relationships/hyperlink" Target="http://www.nevo.co.il/law_html/law01/073_002.htm" TargetMode="External"/><Relationship Id="rId35" Type="http://schemas.openxmlformats.org/officeDocument/2006/relationships/hyperlink" Target="http://www.nevo.co.il/links/psika/?link=&#1512;&#1506;%2040/86&amp;Pvol=&#1502;" TargetMode="External"/><Relationship Id="rId43" Type="http://schemas.openxmlformats.org/officeDocument/2006/relationships/hyperlink" Target="http://www.nevo.co.il/law_html/law01/055_096.htm" TargetMode="External"/><Relationship Id="rId48" Type="http://schemas.openxmlformats.org/officeDocument/2006/relationships/hyperlink" Target="http://www.nevo.co.il/links/psika/?link=&#1489;&#1490;&#1509;%20110/50" TargetMode="External"/><Relationship Id="rId56" Type="http://schemas.openxmlformats.org/officeDocument/2006/relationships/hyperlink" Target="http://www.nevo.co.il/law_html/law01/305_004.htm" TargetMode="External"/><Relationship Id="rId64" Type="http://schemas.openxmlformats.org/officeDocument/2006/relationships/hyperlink" Target="http://www.nevo.co.il/law_html/law01/251_001.htm" TargetMode="External"/><Relationship Id="rId69" Type="http://schemas.openxmlformats.org/officeDocument/2006/relationships/hyperlink" Target="http://www.nevo.co.il/law_html/law01/P224K2_001.htm" TargetMode="External"/><Relationship Id="rId77" Type="http://schemas.openxmlformats.org/officeDocument/2006/relationships/hyperlink" Target="http://www.nevo.co.il/links/psika/?link=&#1514;&#1508;%20861/91" TargetMode="External"/><Relationship Id="rId8" Type="http://schemas.openxmlformats.org/officeDocument/2006/relationships/hyperlink" Target="http://www.nevo.co.il/law_html/law01/073_002.htm" TargetMode="External"/><Relationship Id="rId51" Type="http://schemas.openxmlformats.org/officeDocument/2006/relationships/hyperlink" Target="http://www.nevo.co.il/law_html/law01/P224K2_001.htm" TargetMode="External"/><Relationship Id="rId72" Type="http://schemas.openxmlformats.org/officeDocument/2006/relationships/hyperlink" Target="http://www.nevo.co.il/links/psika/?link=&#1489;&#1490;&#1509;%20156/56" TargetMode="External"/><Relationship Id="rId80" Type="http://schemas.openxmlformats.org/officeDocument/2006/relationships/hyperlink" Target="http://www.nevo.co.il/law_html/law01/130_003.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evo.co.il/links/law/?link=&#1495;&#1493;&#1511;%20&#1492;&#1489;&#1495;&#1497;&#1512;&#1493;&#1514;" TargetMode="External"/><Relationship Id="rId17" Type="http://schemas.openxmlformats.org/officeDocument/2006/relationships/hyperlink" Target="http://www.nevo.co.il/law_html/law01/305_004.htm" TargetMode="External"/><Relationship Id="rId25" Type="http://schemas.openxmlformats.org/officeDocument/2006/relationships/hyperlink" Target="http://www.nevo.co.il/law_html/law01/055_128.htm" TargetMode="External"/><Relationship Id="rId33" Type="http://schemas.openxmlformats.org/officeDocument/2006/relationships/hyperlink" Target="http://www.nevo.co.il/law_html/law01/055_096.htm" TargetMode="External"/><Relationship Id="rId38" Type="http://schemas.openxmlformats.org/officeDocument/2006/relationships/hyperlink" Target="http://www.nevo.co.il/links/psika/?link=&#1489;&#1490;&#1509;%20935/89&amp;Pvol=&#1502;&#1491;" TargetMode="External"/><Relationship Id="rId46" Type="http://schemas.openxmlformats.org/officeDocument/2006/relationships/hyperlink" Target="http://www.nevo.co.il/links/psika/?link=&#1489;&#1512;&#1506;%2040/86" TargetMode="External"/><Relationship Id="rId59" Type="http://schemas.openxmlformats.org/officeDocument/2006/relationships/hyperlink" Target="http://www.nevo.co.il/links/law/?link=&#1495;&#1493;&#1511;%20&#1492;&#1512;&#1513;&#1493;&#1497;&#1493;&#1514;%20&#1492;&#1502;&#1511;&#1493;&#1502;&#1497;&#1493;&#1514;%20(&#1489;&#1495;&#1497;&#1512;&#1493;&#1514;)" TargetMode="External"/><Relationship Id="rId67" Type="http://schemas.openxmlformats.org/officeDocument/2006/relationships/hyperlink" Target="http://www.nevo.co.il/law_html/law01/235_001.htm" TargetMode="External"/><Relationship Id="rId20" Type="http://schemas.openxmlformats.org/officeDocument/2006/relationships/hyperlink" Target="http://www.nevo.co.il/law_html/law01/087_001.htm" TargetMode="External"/><Relationship Id="rId41" Type="http://schemas.openxmlformats.org/officeDocument/2006/relationships/hyperlink" Target="http://www.nevo.co.il/links/psika/?link=&#1514;&#1508;%20861/91" TargetMode="External"/><Relationship Id="rId54" Type="http://schemas.openxmlformats.org/officeDocument/2006/relationships/hyperlink" Target="http://www.nevo.co.il/law_html/law01/248_003.htm" TargetMode="External"/><Relationship Id="rId62" Type="http://schemas.openxmlformats.org/officeDocument/2006/relationships/hyperlink" Target="http://www.nevo.co.il/law_html/law01/190_026.htm" TargetMode="External"/><Relationship Id="rId70" Type="http://schemas.openxmlformats.org/officeDocument/2006/relationships/hyperlink" Target="http://www.nevo.co.il/law_html/law01/235_001.htm" TargetMode="External"/><Relationship Id="rId75" Type="http://schemas.openxmlformats.org/officeDocument/2006/relationships/hyperlink" Target="http://www.nevo.co.il/links/psika/?link=&#1506;&#1508;%20152/63" TargetMode="External"/><Relationship Id="rId83" Type="http://schemas.openxmlformats.org/officeDocument/2006/relationships/hyperlink" Target="http://www.nevo.co.il/advertisements/nevo-10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vo.co.il/law_html/law01/248_003.htm" TargetMode="External"/><Relationship Id="rId23" Type="http://schemas.openxmlformats.org/officeDocument/2006/relationships/hyperlink" Target="http://www.nevo.co.il/law_html/law01/073_002.htm" TargetMode="External"/><Relationship Id="rId28" Type="http://schemas.openxmlformats.org/officeDocument/2006/relationships/hyperlink" Target="http://www.nevo.co.il/law_html/law01/055_096.htm" TargetMode="External"/><Relationship Id="rId36" Type="http://schemas.openxmlformats.org/officeDocument/2006/relationships/hyperlink" Target="http://www.nevo.co.il/links/psika/?link=&#1489;&#1490;&#1509;%20110/50&amp;Pvol=&#1492;" TargetMode="External"/><Relationship Id="rId49" Type="http://schemas.openxmlformats.org/officeDocument/2006/relationships/hyperlink" Target="http://www.nevo.co.il/law_html/law01/019_002.htm" TargetMode="External"/><Relationship Id="rId57" Type="http://schemas.openxmlformats.org/officeDocument/2006/relationships/hyperlink" Target="http://www.nevo.co.il/law_html/law01/190_026.htm" TargetMode="External"/><Relationship Id="rId10" Type="http://schemas.openxmlformats.org/officeDocument/2006/relationships/hyperlink" Target="http://www.nevo.co.il/law_html/law01/055_136.htm" TargetMode="External"/><Relationship Id="rId31" Type="http://schemas.openxmlformats.org/officeDocument/2006/relationships/hyperlink" Target="http://www.nevo.co.il/law_html/law01/306_001.htm" TargetMode="External"/><Relationship Id="rId44" Type="http://schemas.openxmlformats.org/officeDocument/2006/relationships/hyperlink" Target="http://www.nevo.co.il/law_html/law01/055_096.htm" TargetMode="External"/><Relationship Id="rId52" Type="http://schemas.openxmlformats.org/officeDocument/2006/relationships/hyperlink" Target="http://www.nevo.co.il/law_html/law01/235_001.htm" TargetMode="External"/><Relationship Id="rId60" Type="http://schemas.openxmlformats.org/officeDocument/2006/relationships/hyperlink" Target="http://www.nevo.co.il/law_html/law01/033_001.htm" TargetMode="External"/><Relationship Id="rId65" Type="http://schemas.openxmlformats.org/officeDocument/2006/relationships/hyperlink" Target="http://www.nevo.co.il/law_html/law01/248_003.htm" TargetMode="External"/><Relationship Id="rId73" Type="http://schemas.openxmlformats.org/officeDocument/2006/relationships/hyperlink" Target="http://www.nevo.co.il/law_html/law01/073_002.htm" TargetMode="External"/><Relationship Id="rId78" Type="http://schemas.openxmlformats.org/officeDocument/2006/relationships/hyperlink" Target="http://www.nevo.co.il/law_html/law01/055_128.htm" TargetMode="External"/><Relationship Id="rId81" Type="http://schemas.openxmlformats.org/officeDocument/2006/relationships/hyperlink" Target="http://www.nevo.co.il/law_html/law01/055_096.htm" TargetMode="External"/><Relationship Id="rId86"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7827</Words>
  <Characters>39138</Characters>
  <Application>Microsoft Office Word</Application>
  <DocSecurity>0</DocSecurity>
  <Lines>326</Lines>
  <Paragraphs>93</Paragraphs>
  <ScaleCrop>false</ScaleCrop>
  <Company/>
  <LinksUpToDate>false</LinksUpToDate>
  <CharactersWithSpaces>46872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2</cp:revision>
  <dcterms:created xsi:type="dcterms:W3CDTF">2013-02-15T21:59:00Z</dcterms:created>
  <dcterms:modified xsi:type="dcterms:W3CDTF">2013-02-15T21:59:00Z</dcterms:modified>
</cp:coreProperties>
</file>